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47D8F">
      <w:pPr>
        <w:pStyle w:val="3"/>
        <w:jc w:val="center"/>
        <w:rPr>
          <w:rFonts w:ascii="仿宋" w:hAnsi="仿宋" w:eastAsia="仿宋" w:cs="仿宋"/>
          <w:b/>
          <w:color w:val="000000"/>
          <w:sz w:val="44"/>
          <w:szCs w:val="44"/>
        </w:rPr>
      </w:pPr>
      <w:r>
        <w:rPr>
          <w:rFonts w:hint="eastAsia" w:ascii="仿宋" w:hAnsi="仿宋" w:eastAsia="仿宋" w:cs="仿宋"/>
          <w:b/>
          <w:bCs/>
          <w:sz w:val="44"/>
          <w:szCs w:val="44"/>
          <w:lang w:val="zh-CN"/>
        </w:rPr>
        <w:t>拟签订的合同条款</w:t>
      </w:r>
    </w:p>
    <w:p w14:paraId="3461A134">
      <w:pPr>
        <w:pStyle w:val="3"/>
        <w:rPr>
          <w:rFonts w:ascii="仿宋" w:hAnsi="仿宋" w:eastAsia="仿宋" w:cs="仿宋"/>
          <w:b/>
          <w:color w:val="000000"/>
          <w:sz w:val="44"/>
          <w:szCs w:val="44"/>
        </w:rPr>
      </w:pPr>
    </w:p>
    <w:p w14:paraId="207221F5">
      <w:pPr>
        <w:pStyle w:val="3"/>
        <w:jc w:val="center"/>
        <w:rPr>
          <w:rFonts w:ascii="仿宋" w:hAnsi="仿宋" w:eastAsia="仿宋" w:cs="仿宋"/>
          <w:b/>
          <w:color w:val="000000"/>
          <w:sz w:val="44"/>
          <w:szCs w:val="44"/>
        </w:rPr>
      </w:pPr>
      <w:r>
        <w:rPr>
          <w:rFonts w:hint="eastAsia" w:ascii="仿宋" w:hAnsi="仿宋" w:eastAsia="仿宋" w:cs="仿宋"/>
          <w:b/>
          <w:color w:val="000000"/>
          <w:sz w:val="44"/>
          <w:szCs w:val="44"/>
        </w:rPr>
        <w:t>14号学生宿舍楼工程结</w:t>
      </w:r>
      <w:bookmarkStart w:id="0" w:name="_GoBack"/>
      <w:bookmarkEnd w:id="0"/>
      <w:r>
        <w:rPr>
          <w:rFonts w:hint="eastAsia" w:ascii="仿宋" w:hAnsi="仿宋" w:eastAsia="仿宋" w:cs="仿宋"/>
          <w:b/>
          <w:color w:val="000000"/>
          <w:sz w:val="44"/>
          <w:szCs w:val="44"/>
        </w:rPr>
        <w:t>算审计项目</w:t>
      </w:r>
    </w:p>
    <w:p w14:paraId="558D7437">
      <w:pPr>
        <w:pStyle w:val="7"/>
        <w:spacing w:before="12" w:beforeAutospacing="0" w:after="0" w:afterAutospacing="0"/>
        <w:rPr>
          <w:rFonts w:ascii="仿宋" w:hAnsi="仿宋" w:eastAsia="仿宋" w:cs="仿宋"/>
          <w:b/>
          <w:sz w:val="48"/>
          <w:szCs w:val="22"/>
        </w:rPr>
      </w:pPr>
    </w:p>
    <w:p w14:paraId="2EB0555F">
      <w:pPr>
        <w:spacing w:after="156" w:afterLines="50" w:line="520" w:lineRule="exact"/>
        <w:ind w:right="688"/>
        <w:jc w:val="center"/>
        <w:rPr>
          <w:rFonts w:ascii="仿宋" w:hAnsi="仿宋" w:eastAsia="仿宋" w:cs="仿宋"/>
          <w:b/>
          <w:w w:val="95"/>
          <w:sz w:val="36"/>
        </w:rPr>
      </w:pPr>
    </w:p>
    <w:p w14:paraId="3DC7ECDC">
      <w:pPr>
        <w:spacing w:after="156" w:afterLines="50" w:line="520" w:lineRule="exact"/>
        <w:ind w:right="688"/>
        <w:jc w:val="center"/>
        <w:rPr>
          <w:rFonts w:ascii="仿宋" w:hAnsi="仿宋" w:eastAsia="仿宋" w:cs="仿宋"/>
          <w:b/>
          <w:w w:val="95"/>
          <w:sz w:val="36"/>
        </w:rPr>
      </w:pPr>
    </w:p>
    <w:p w14:paraId="39D69B79">
      <w:pPr>
        <w:spacing w:after="156" w:afterLines="50" w:line="520" w:lineRule="exact"/>
        <w:ind w:right="688"/>
        <w:jc w:val="center"/>
        <w:rPr>
          <w:rFonts w:ascii="仿宋" w:hAnsi="仿宋" w:eastAsia="仿宋" w:cs="仿宋"/>
          <w:b/>
          <w:sz w:val="28"/>
          <w:szCs w:val="32"/>
        </w:rPr>
      </w:pPr>
      <w:r>
        <w:rPr>
          <w:rFonts w:hint="eastAsia" w:ascii="仿宋" w:hAnsi="仿宋" w:eastAsia="仿宋" w:cs="仿宋"/>
          <w:b/>
          <w:w w:val="95"/>
          <w:sz w:val="36"/>
        </w:rPr>
        <w:t>合同编号：</w:t>
      </w:r>
    </w:p>
    <w:p w14:paraId="79174BD8">
      <w:pPr>
        <w:jc w:val="center"/>
        <w:rPr>
          <w:rFonts w:ascii="仿宋" w:hAnsi="仿宋" w:eastAsia="仿宋" w:cs="仿宋"/>
          <w:b/>
          <w:sz w:val="36"/>
        </w:rPr>
      </w:pPr>
    </w:p>
    <w:p w14:paraId="0DC583F9">
      <w:pPr>
        <w:pStyle w:val="7"/>
        <w:spacing w:before="0" w:beforeAutospacing="0" w:after="0" w:afterAutospacing="0"/>
        <w:rPr>
          <w:rFonts w:ascii="仿宋" w:hAnsi="仿宋" w:eastAsia="仿宋" w:cs="仿宋"/>
          <w:b/>
          <w:sz w:val="36"/>
          <w:szCs w:val="22"/>
        </w:rPr>
      </w:pPr>
    </w:p>
    <w:p w14:paraId="6D64AD83">
      <w:pPr>
        <w:pStyle w:val="7"/>
        <w:spacing w:before="0" w:beforeAutospacing="0" w:after="0" w:afterAutospacing="0"/>
        <w:rPr>
          <w:rFonts w:ascii="仿宋" w:hAnsi="仿宋" w:eastAsia="仿宋" w:cs="仿宋"/>
          <w:b/>
          <w:sz w:val="32"/>
          <w:szCs w:val="32"/>
        </w:rPr>
      </w:pPr>
    </w:p>
    <w:p w14:paraId="4A61746C">
      <w:pPr>
        <w:widowControl/>
        <w:tabs>
          <w:tab w:val="left" w:pos="3569"/>
          <w:tab w:val="left" w:pos="4534"/>
          <w:tab w:val="left" w:pos="5335"/>
          <w:tab w:val="left" w:pos="6379"/>
          <w:tab w:val="left" w:pos="6540"/>
          <w:tab w:val="left" w:pos="9800"/>
        </w:tabs>
        <w:snapToGrid w:val="0"/>
        <w:spacing w:before="1" w:after="260" w:line="360" w:lineRule="auto"/>
        <w:jc w:val="center"/>
        <w:rPr>
          <w:rFonts w:ascii="仿宋" w:hAnsi="仿宋" w:eastAsia="仿宋" w:cs="仿宋"/>
          <w:sz w:val="32"/>
          <w:szCs w:val="32"/>
        </w:rPr>
      </w:pPr>
      <w:r>
        <w:rPr>
          <w:rFonts w:hint="eastAsia" w:ascii="仿宋" w:hAnsi="仿宋" w:eastAsia="仿宋" w:cs="仿宋"/>
          <w:sz w:val="32"/>
          <w:szCs w:val="32"/>
        </w:rPr>
        <w:t>甲方：陕西中医药大学</w:t>
      </w:r>
    </w:p>
    <w:p w14:paraId="17BC3A90">
      <w:pPr>
        <w:widowControl/>
        <w:tabs>
          <w:tab w:val="left" w:pos="3569"/>
          <w:tab w:val="left" w:pos="4534"/>
          <w:tab w:val="left" w:pos="5335"/>
          <w:tab w:val="left" w:pos="6379"/>
          <w:tab w:val="left" w:pos="6540"/>
          <w:tab w:val="left" w:pos="9800"/>
        </w:tabs>
        <w:snapToGrid w:val="0"/>
        <w:spacing w:before="1" w:after="260" w:line="360" w:lineRule="auto"/>
        <w:ind w:firstLine="2560" w:firstLineChars="800"/>
        <w:rPr>
          <w:rFonts w:ascii="仿宋" w:hAnsi="仿宋" w:eastAsia="仿宋" w:cs="仿宋"/>
          <w:sz w:val="32"/>
          <w:szCs w:val="32"/>
        </w:rPr>
      </w:pPr>
      <w:r>
        <w:rPr>
          <w:rFonts w:hint="eastAsia" w:ascii="仿宋" w:hAnsi="仿宋" w:eastAsia="仿宋" w:cs="仿宋"/>
          <w:sz w:val="32"/>
          <w:szCs w:val="32"/>
        </w:rPr>
        <w:t>乙方：</w:t>
      </w:r>
    </w:p>
    <w:p w14:paraId="2B1F6C4C">
      <w:pPr>
        <w:widowControl/>
        <w:tabs>
          <w:tab w:val="left" w:pos="3569"/>
          <w:tab w:val="left" w:pos="4534"/>
          <w:tab w:val="left" w:pos="5335"/>
          <w:tab w:val="left" w:pos="6379"/>
          <w:tab w:val="left" w:pos="6540"/>
          <w:tab w:val="left" w:pos="9800"/>
        </w:tabs>
        <w:snapToGrid w:val="0"/>
        <w:spacing w:before="1" w:after="260" w:line="360" w:lineRule="auto"/>
        <w:jc w:val="center"/>
        <w:rPr>
          <w:rFonts w:ascii="仿宋" w:hAnsi="仿宋" w:eastAsia="仿宋" w:cs="仿宋"/>
          <w:sz w:val="32"/>
          <w:szCs w:val="32"/>
        </w:rPr>
      </w:pPr>
      <w:r>
        <w:rPr>
          <w:rFonts w:hint="eastAsia" w:ascii="仿宋" w:hAnsi="仿宋" w:eastAsia="仿宋" w:cs="仿宋"/>
          <w:sz w:val="32"/>
          <w:szCs w:val="32"/>
        </w:rPr>
        <w:t xml:space="preserve">    签订日期： 2026年  月   日</w:t>
      </w:r>
      <w:r>
        <w:rPr>
          <w:rFonts w:hint="eastAsia" w:ascii="仿宋" w:hAnsi="仿宋" w:eastAsia="仿宋" w:cs="仿宋"/>
          <w:sz w:val="32"/>
          <w:szCs w:val="32"/>
        </w:rPr>
        <w:br w:type="page"/>
      </w:r>
    </w:p>
    <w:p w14:paraId="6F8A6C1C">
      <w:pPr>
        <w:autoSpaceDE w:val="0"/>
        <w:autoSpaceDN w:val="0"/>
        <w:adjustRightInd w:val="0"/>
        <w:snapToGrid w:val="0"/>
        <w:spacing w:line="360" w:lineRule="auto"/>
        <w:ind w:firstLine="640" w:firstLineChars="200"/>
        <w:rPr>
          <w:rFonts w:ascii="仿宋" w:hAnsi="仿宋" w:eastAsia="仿宋" w:cs="仿宋"/>
          <w:bCs/>
          <w:sz w:val="32"/>
          <w:szCs w:val="32"/>
        </w:rPr>
      </w:pPr>
    </w:p>
    <w:p w14:paraId="2C625979">
      <w:pPr>
        <w:widowControl/>
        <w:autoSpaceDE w:val="0"/>
        <w:autoSpaceDN w:val="0"/>
        <w:adjustRightInd w:val="0"/>
        <w:snapToGrid w:val="0"/>
        <w:spacing w:line="360" w:lineRule="auto"/>
        <w:ind w:firstLine="480" w:firstLineChars="200"/>
        <w:rPr>
          <w:rFonts w:ascii="仿宋" w:hAnsi="仿宋" w:eastAsia="仿宋" w:cs="仿宋"/>
          <w:bCs/>
          <w:sz w:val="24"/>
          <w:szCs w:val="32"/>
        </w:rPr>
      </w:pPr>
      <w:r>
        <w:rPr>
          <w:rFonts w:hint="eastAsia" w:ascii="仿宋" w:hAnsi="仿宋" w:eastAsia="仿宋" w:cs="仿宋"/>
          <w:bCs/>
          <w:sz w:val="24"/>
          <w:szCs w:val="32"/>
        </w:rPr>
        <w:t>采购人（全称）：</w:t>
      </w:r>
      <w:r>
        <w:rPr>
          <w:rFonts w:hint="eastAsia" w:ascii="仿宋" w:hAnsi="仿宋" w:eastAsia="仿宋" w:cs="仿宋"/>
          <w:bCs/>
          <w:sz w:val="24"/>
          <w:szCs w:val="32"/>
          <w:u w:val="single"/>
        </w:rPr>
        <w:t xml:space="preserve">                     </w:t>
      </w:r>
      <w:r>
        <w:rPr>
          <w:rFonts w:hint="eastAsia" w:ascii="仿宋" w:hAnsi="仿宋" w:eastAsia="仿宋" w:cs="仿宋"/>
          <w:bCs/>
          <w:sz w:val="24"/>
          <w:szCs w:val="32"/>
        </w:rPr>
        <w:t xml:space="preserve"> （简称甲方）      </w:t>
      </w:r>
    </w:p>
    <w:p w14:paraId="540F2EA1">
      <w:pPr>
        <w:widowControl/>
        <w:autoSpaceDE w:val="0"/>
        <w:autoSpaceDN w:val="0"/>
        <w:adjustRightInd w:val="0"/>
        <w:snapToGrid w:val="0"/>
        <w:spacing w:line="360" w:lineRule="auto"/>
        <w:ind w:firstLine="480" w:firstLineChars="200"/>
        <w:rPr>
          <w:rFonts w:ascii="仿宋" w:hAnsi="仿宋" w:eastAsia="仿宋" w:cs="仿宋"/>
          <w:bCs/>
          <w:sz w:val="24"/>
          <w:szCs w:val="32"/>
        </w:rPr>
      </w:pPr>
      <w:r>
        <w:rPr>
          <w:rFonts w:hint="eastAsia" w:ascii="仿宋" w:hAnsi="仿宋" w:eastAsia="仿宋" w:cs="仿宋"/>
          <w:bCs/>
          <w:sz w:val="24"/>
          <w:szCs w:val="32"/>
        </w:rPr>
        <w:t>成交供应商（全称）：</w:t>
      </w:r>
      <w:r>
        <w:rPr>
          <w:rFonts w:hint="eastAsia" w:ascii="仿宋" w:hAnsi="仿宋" w:eastAsia="仿宋" w:cs="仿宋"/>
          <w:bCs/>
          <w:sz w:val="24"/>
          <w:szCs w:val="32"/>
          <w:u w:val="single"/>
        </w:rPr>
        <w:t xml:space="preserve">                  </w:t>
      </w:r>
      <w:r>
        <w:rPr>
          <w:rFonts w:hint="eastAsia" w:ascii="仿宋" w:hAnsi="仿宋" w:eastAsia="仿宋" w:cs="仿宋"/>
          <w:bCs/>
          <w:sz w:val="24"/>
          <w:szCs w:val="32"/>
        </w:rPr>
        <w:t xml:space="preserve"> （简称乙方）                                    </w:t>
      </w:r>
    </w:p>
    <w:p w14:paraId="657CAEC0">
      <w:pPr>
        <w:widowControl/>
        <w:autoSpaceDE w:val="0"/>
        <w:autoSpaceDN w:val="0"/>
        <w:adjustRightInd w:val="0"/>
        <w:snapToGrid w:val="0"/>
        <w:spacing w:line="360" w:lineRule="auto"/>
        <w:ind w:firstLine="480" w:firstLineChars="200"/>
        <w:rPr>
          <w:rFonts w:ascii="仿宋" w:hAnsi="仿宋" w:eastAsia="仿宋" w:cs="仿宋"/>
          <w:bCs/>
          <w:sz w:val="24"/>
          <w:szCs w:val="32"/>
        </w:rPr>
      </w:pPr>
      <w:r>
        <w:rPr>
          <w:rFonts w:hint="eastAsia" w:ascii="仿宋" w:hAnsi="仿宋" w:eastAsia="仿宋" w:cs="仿宋"/>
          <w:bCs/>
          <w:sz w:val="24"/>
          <w:szCs w:val="32"/>
        </w:rPr>
        <w:t>根据《中华人民共和国民法典》、《中华人民共和国政府采购法》及其他有关法律、法规，遵循平等、自愿、公平和诚信的原则，双方就下述工程结算审计服务事项委托协商一致，订立本合同。</w:t>
      </w:r>
    </w:p>
    <w:p w14:paraId="7B48FAE6">
      <w:pPr>
        <w:widowControl/>
        <w:adjustRightInd w:val="0"/>
        <w:snapToGrid w:val="0"/>
        <w:spacing w:line="360" w:lineRule="auto"/>
        <w:ind w:firstLine="482" w:firstLineChars="200"/>
        <w:jc w:val="left"/>
        <w:rPr>
          <w:rFonts w:ascii="仿宋" w:hAnsi="仿宋" w:eastAsia="仿宋" w:cs="仿宋"/>
          <w:sz w:val="24"/>
          <w:szCs w:val="32"/>
        </w:rPr>
      </w:pPr>
      <w:r>
        <w:rPr>
          <w:rFonts w:hint="eastAsia" w:ascii="仿宋" w:hAnsi="仿宋" w:eastAsia="仿宋" w:cs="仿宋"/>
          <w:b/>
          <w:bCs/>
          <w:sz w:val="24"/>
          <w:szCs w:val="32"/>
        </w:rPr>
        <w:t>一、审计服务内容</w:t>
      </w:r>
    </w:p>
    <w:p w14:paraId="39CE5320">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（一）审计准备阶段</w:t>
      </w:r>
    </w:p>
    <w:p w14:paraId="3B57B8FC">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1、学习项目招投标文件，领会项目的内容。</w:t>
      </w:r>
    </w:p>
    <w:p w14:paraId="2F606487">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通过对招标需求、招标文件、投标文件、施工合同等资料学习研究，领会被审项目建设目的、规范及标准。通过查看施工图纸，弄懂清单投标报价、拦标价组成，依据国家规范对拦标价、投标报价进行量化分析。通过对以上资料的分析研判，结合实际情况制定具体的审计方案。</w:t>
      </w:r>
    </w:p>
    <w:p w14:paraId="1FFD65BD">
      <w:pPr>
        <w:widowControl/>
        <w:numPr>
          <w:ilvl w:val="255"/>
          <w:numId w:val="0"/>
        </w:numPr>
        <w:adjustRightInd w:val="0"/>
        <w:snapToGrid w:val="0"/>
        <w:spacing w:line="360" w:lineRule="auto"/>
        <w:ind w:left="420" w:leftChars="200"/>
        <w:jc w:val="left"/>
        <w:rPr>
          <w:rFonts w:ascii="仿宋" w:hAnsi="仿宋" w:eastAsia="仿宋" w:cs="仿宋"/>
          <w:sz w:val="24"/>
          <w:szCs w:val="32"/>
        </w:rPr>
      </w:pPr>
      <w:r>
        <w:rPr>
          <w:rFonts w:hint="eastAsia" w:ascii="仿宋" w:hAnsi="仿宋" w:eastAsia="仿宋" w:cs="仿宋"/>
          <w:sz w:val="24"/>
          <w:szCs w:val="32"/>
        </w:rPr>
        <w:t>2、分析项目潜在风险并进行提示提醒。</w:t>
      </w:r>
    </w:p>
    <w:p w14:paraId="5734BD34">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通过研判，分析项目潜在风险，提出审计建议。对可以通过审计方案进行化解的风险，在审计方案中进行计划，在项目实施过程中通过审计建议进行化解。对不能通过审计方案及后续措施化解的风险，在项目实施之初进行提示提醒，并向审计主管部门汇报。</w:t>
      </w:r>
    </w:p>
    <w:p w14:paraId="1D4B60EA">
      <w:pPr>
        <w:widowControl/>
        <w:adjustRightInd w:val="0"/>
        <w:snapToGrid w:val="0"/>
        <w:spacing w:line="360" w:lineRule="auto"/>
        <w:ind w:firstLine="480" w:firstLineChars="200"/>
        <w:jc w:val="left"/>
        <w:rPr>
          <w:rFonts w:ascii="仿宋" w:hAnsi="仿宋" w:eastAsia="仿宋" w:cs="仿宋"/>
          <w:sz w:val="24"/>
          <w:szCs w:val="32"/>
        </w:rPr>
      </w:pPr>
    </w:p>
    <w:p w14:paraId="6FD1AF7F">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（二）结算审计阶段</w:t>
      </w:r>
    </w:p>
    <w:p w14:paraId="5A4687B5">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1、 依据合同、招标文件、投标文件、施工图纸、竣工图纸、清单进行造价分析研判；统一计价原则，并明确审计计价标准。</w:t>
      </w:r>
    </w:p>
    <w:p w14:paraId="5ED10C3C">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2、资料收集确保真实性、完备性。</w:t>
      </w:r>
    </w:p>
    <w:p w14:paraId="14CF3FB4">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3、结算审核</w:t>
      </w:r>
    </w:p>
    <w:p w14:paraId="6DCB9110">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（1）依据项目的投标报价、招标控制价以及合同约定条款审核结算报价的合法性、合规性。</w:t>
      </w:r>
    </w:p>
    <w:p w14:paraId="35890741">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2）依据国家及陕西省有关计价原则，施工单位的投标报价，结合建设单位的招标控制价，在施工过程中对暂估金、暂定价、变更等按照合同约定审核施工单位结算报价。对有差异性的报价子目进行分析研判，提出合理化建议。</w:t>
      </w:r>
    </w:p>
    <w:p w14:paraId="64E80694">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（3）审核过程中的争议问题，参考审计公司的意见，学校审计主管部门、学校项目主管部门协调商定，出具会议记要，最终核对无误后确定审计结果。</w:t>
      </w:r>
    </w:p>
    <w:p w14:paraId="34513DEC">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二、服务期限及实施地点要求</w:t>
      </w:r>
    </w:p>
    <w:p w14:paraId="2BC15EA0">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（一）服务期限：从收到完整的竣工结算资料之日起，三十日内提交初审结果。</w:t>
      </w:r>
    </w:p>
    <w:p w14:paraId="3457FC70">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（二）实施地点：陕西中医药大学。</w:t>
      </w:r>
    </w:p>
    <w:p w14:paraId="2E7C2623">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lang w:val="zh-CN"/>
        </w:rPr>
        <w:t>三、合同价款</w:t>
      </w:r>
    </w:p>
    <w:p w14:paraId="6BCFD132">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w:t>
      </w:r>
      <w:r>
        <w:rPr>
          <w:rFonts w:hint="eastAsia" w:ascii="仿宋" w:hAnsi="仿宋" w:eastAsia="仿宋" w:cs="仿宋"/>
          <w:sz w:val="24"/>
          <w:szCs w:val="32"/>
        </w:rPr>
        <w:t>一</w:t>
      </w:r>
      <w:r>
        <w:rPr>
          <w:rFonts w:hint="eastAsia" w:ascii="仿宋" w:hAnsi="仿宋" w:eastAsia="仿宋" w:cs="仿宋"/>
          <w:sz w:val="24"/>
          <w:szCs w:val="32"/>
          <w:lang w:val="zh-CN"/>
        </w:rPr>
        <w:t>）合同暂定总价款为人民币（大写）</w:t>
      </w:r>
      <w:r>
        <w:rPr>
          <w:rFonts w:hint="eastAsia" w:ascii="仿宋" w:hAnsi="仿宋" w:eastAsia="仿宋" w:cs="仿宋"/>
          <w:sz w:val="24"/>
          <w:szCs w:val="32"/>
          <w:u w:val="single"/>
        </w:rPr>
        <w:t xml:space="preserve">      </w:t>
      </w:r>
      <w:r>
        <w:rPr>
          <w:rFonts w:hint="eastAsia" w:ascii="仿宋" w:hAnsi="仿宋" w:eastAsia="仿宋" w:cs="仿宋"/>
          <w:sz w:val="24"/>
          <w:szCs w:val="32"/>
          <w:u w:val="single"/>
          <w:lang w:val="zh-CN"/>
        </w:rPr>
        <w:t xml:space="preserve"> </w:t>
      </w:r>
      <w:r>
        <w:rPr>
          <w:rFonts w:hint="eastAsia" w:ascii="仿宋" w:hAnsi="仿宋" w:eastAsia="仿宋" w:cs="仿宋"/>
          <w:sz w:val="24"/>
          <w:szCs w:val="32"/>
          <w:lang w:val="zh-CN"/>
        </w:rPr>
        <w:t>（</w:t>
      </w:r>
      <w:r>
        <w:rPr>
          <w:rFonts w:hint="eastAsia" w:ascii="仿宋" w:hAnsi="仿宋" w:eastAsia="仿宋" w:cs="仿宋"/>
          <w:sz w:val="24"/>
          <w:szCs w:val="32"/>
        </w:rPr>
        <w:t>¥</w:t>
      </w:r>
      <w:r>
        <w:rPr>
          <w:rFonts w:hint="eastAsia" w:ascii="仿宋" w:hAnsi="仿宋" w:eastAsia="仿宋" w:cs="仿宋"/>
          <w:sz w:val="24"/>
          <w:szCs w:val="32"/>
          <w:u w:val="single"/>
        </w:rPr>
        <w:t xml:space="preserve">     </w:t>
      </w:r>
      <w:r>
        <w:rPr>
          <w:rFonts w:hint="eastAsia" w:ascii="仿宋" w:hAnsi="仿宋" w:eastAsia="仿宋" w:cs="仿宋"/>
          <w:sz w:val="24"/>
          <w:szCs w:val="32"/>
          <w:lang w:val="zh-CN"/>
        </w:rPr>
        <w:t>元 ）。</w:t>
      </w:r>
    </w:p>
    <w:p w14:paraId="1E996C1E">
      <w:pPr>
        <w:widowControl/>
        <w:adjustRightInd w:val="0"/>
        <w:snapToGrid w:val="0"/>
        <w:spacing w:line="360" w:lineRule="auto"/>
        <w:ind w:firstLine="480" w:firstLineChars="200"/>
        <w:jc w:val="left"/>
        <w:rPr>
          <w:rFonts w:ascii="仿宋" w:hAnsi="仿宋" w:eastAsia="仿宋" w:cs="仿宋"/>
          <w:sz w:val="24"/>
          <w:szCs w:val="32"/>
          <w:u w:val="single"/>
          <w:lang w:val="zh-CN"/>
        </w:rPr>
      </w:pPr>
      <w:r>
        <w:rPr>
          <w:rFonts w:hint="eastAsia" w:ascii="仿宋" w:hAnsi="仿宋" w:eastAsia="仿宋" w:cs="仿宋"/>
          <w:sz w:val="24"/>
          <w:szCs w:val="32"/>
          <w:lang w:val="zh-CN"/>
        </w:rPr>
        <w:t>基本收费费率：</w:t>
      </w:r>
      <w:r>
        <w:rPr>
          <w:rFonts w:hint="eastAsia" w:ascii="仿宋" w:hAnsi="仿宋" w:eastAsia="仿宋" w:cs="仿宋"/>
          <w:sz w:val="24"/>
          <w:szCs w:val="32"/>
          <w:u w:val="single"/>
          <w:lang w:val="zh-CN"/>
        </w:rPr>
        <w:t xml:space="preserve">       </w:t>
      </w:r>
      <w:r>
        <w:rPr>
          <w:rFonts w:hint="eastAsia" w:ascii="仿宋" w:hAnsi="仿宋" w:eastAsia="仿宋" w:cs="仿宋"/>
          <w:sz w:val="24"/>
          <w:szCs w:val="32"/>
          <w:lang w:val="zh-CN"/>
        </w:rPr>
        <w:t>‰，审减成果费率：</w:t>
      </w:r>
      <w:r>
        <w:rPr>
          <w:rFonts w:hint="eastAsia" w:ascii="仿宋" w:hAnsi="仿宋" w:eastAsia="仿宋" w:cs="仿宋"/>
          <w:sz w:val="24"/>
          <w:szCs w:val="32"/>
          <w:u w:val="single"/>
          <w:lang w:val="zh-CN"/>
        </w:rPr>
        <w:t xml:space="preserve">          </w:t>
      </w:r>
      <w:r>
        <w:rPr>
          <w:rFonts w:hint="eastAsia" w:ascii="仿宋" w:hAnsi="仿宋" w:eastAsia="仿宋" w:cs="仿宋"/>
          <w:sz w:val="24"/>
          <w:szCs w:val="32"/>
          <w:lang w:val="zh-CN"/>
        </w:rPr>
        <w:t>%</w:t>
      </w:r>
    </w:p>
    <w:p w14:paraId="7ED58599">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w:t>
      </w:r>
      <w:r>
        <w:rPr>
          <w:rFonts w:hint="eastAsia" w:ascii="仿宋" w:hAnsi="仿宋" w:eastAsia="仿宋" w:cs="仿宋"/>
          <w:sz w:val="24"/>
          <w:szCs w:val="32"/>
        </w:rPr>
        <w:t>二</w:t>
      </w:r>
      <w:r>
        <w:rPr>
          <w:rFonts w:hint="eastAsia" w:ascii="仿宋" w:hAnsi="仿宋" w:eastAsia="仿宋" w:cs="仿宋"/>
          <w:sz w:val="24"/>
          <w:szCs w:val="32"/>
          <w:lang w:val="zh-CN"/>
        </w:rPr>
        <w:t>）合同总价包括但不限于：人工费、设备费、管理费、利润、风险等以及国家按现行税率征收的一切税费。</w:t>
      </w:r>
    </w:p>
    <w:p w14:paraId="60734274">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四</w:t>
      </w:r>
      <w:r>
        <w:rPr>
          <w:rFonts w:hint="eastAsia" w:ascii="仿宋" w:hAnsi="仿宋" w:eastAsia="仿宋" w:cs="仿宋"/>
          <w:b/>
          <w:bCs/>
          <w:sz w:val="24"/>
          <w:szCs w:val="32"/>
          <w:lang w:val="zh-CN"/>
        </w:rPr>
        <w:t>、款项结算</w:t>
      </w:r>
    </w:p>
    <w:p w14:paraId="40C9505B">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（一）项款支付:</w:t>
      </w:r>
    </w:p>
    <w:p w14:paraId="061C8256">
      <w:pPr>
        <w:widowControl/>
        <w:adjustRightInd w:val="0"/>
        <w:snapToGrid w:val="0"/>
        <w:spacing w:line="360" w:lineRule="auto"/>
        <w:ind w:firstLine="480" w:firstLineChars="200"/>
        <w:jc w:val="left"/>
        <w:rPr>
          <w:rFonts w:ascii="仿宋" w:hAnsi="仿宋" w:eastAsia="仿宋" w:cs="仿宋"/>
          <w:sz w:val="24"/>
          <w:szCs w:val="32"/>
        </w:rPr>
      </w:pPr>
      <w:r>
        <w:rPr>
          <w:rFonts w:hint="eastAsia" w:ascii="仿宋" w:hAnsi="仿宋" w:eastAsia="仿宋" w:cs="仿宋"/>
          <w:sz w:val="24"/>
          <w:szCs w:val="32"/>
        </w:rPr>
        <w:t>提交正式审计报告后，60天内支付审计费（包括基本审核费和成果效益费）。</w:t>
      </w:r>
    </w:p>
    <w:p w14:paraId="0EC0D777">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（二）支付方式：银行转账。</w:t>
      </w:r>
    </w:p>
    <w:p w14:paraId="1716A8E1">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（三）结算方式：乙方在接受付款前，</w:t>
      </w:r>
      <w:r>
        <w:rPr>
          <w:rFonts w:hint="eastAsia" w:ascii="仿宋" w:hAnsi="仿宋" w:eastAsia="仿宋" w:cs="仿宋"/>
          <w:sz w:val="24"/>
          <w:szCs w:val="32"/>
        </w:rPr>
        <w:t>根据支付方式开具</w:t>
      </w:r>
      <w:r>
        <w:rPr>
          <w:rFonts w:hint="eastAsia" w:ascii="仿宋" w:hAnsi="仿宋" w:eastAsia="仿宋" w:cs="仿宋"/>
          <w:sz w:val="24"/>
          <w:szCs w:val="32"/>
          <w:lang w:val="zh-CN"/>
        </w:rPr>
        <w:t>发票给甲方。</w:t>
      </w:r>
    </w:p>
    <w:p w14:paraId="5B597F80">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（四）验收依据：合同文本响应</w:t>
      </w:r>
      <w:r>
        <w:rPr>
          <w:rFonts w:hint="eastAsia" w:ascii="仿宋" w:hAnsi="仿宋" w:eastAsia="仿宋" w:cs="仿宋"/>
          <w:sz w:val="24"/>
          <w:szCs w:val="32"/>
        </w:rPr>
        <w:t>函</w:t>
      </w:r>
      <w:r>
        <w:rPr>
          <w:rFonts w:hint="eastAsia" w:ascii="仿宋" w:hAnsi="仿宋" w:eastAsia="仿宋" w:cs="仿宋"/>
          <w:sz w:val="24"/>
          <w:szCs w:val="32"/>
          <w:lang w:val="zh-CN"/>
        </w:rPr>
        <w:t>和其他与项目相关的资料；国家和行业制定的相应的标准和规范。</w:t>
      </w:r>
    </w:p>
    <w:p w14:paraId="137D4172">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五</w:t>
      </w:r>
      <w:r>
        <w:rPr>
          <w:rFonts w:hint="eastAsia" w:ascii="仿宋" w:hAnsi="仿宋" w:eastAsia="仿宋" w:cs="仿宋"/>
          <w:b/>
          <w:bCs/>
          <w:sz w:val="24"/>
          <w:szCs w:val="32"/>
          <w:lang w:val="zh-CN"/>
        </w:rPr>
        <w:t>、双方的权利和义务</w:t>
      </w:r>
    </w:p>
    <w:p w14:paraId="47447420">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（一）甲方的权利与义务</w:t>
      </w:r>
    </w:p>
    <w:p w14:paraId="2827D4EE">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1、甲方负责配合本次项目服务工作。</w:t>
      </w:r>
    </w:p>
    <w:p w14:paraId="1B20781E">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2、甲方应按本合同的约定向乙方支付合同价款。</w:t>
      </w:r>
    </w:p>
    <w:p w14:paraId="47ACDF94">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3、甲方根据需要对乙方提供的方案进行审核，提供建议及意见，确定最终实施的服务方案，以便乙方遵照执行。</w:t>
      </w:r>
    </w:p>
    <w:p w14:paraId="4E0A11F2">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4、甲方有权对乙方的工作进行监督和考核。</w:t>
      </w:r>
    </w:p>
    <w:p w14:paraId="735F614E">
      <w:pPr>
        <w:pStyle w:val="19"/>
        <w:widowControl/>
        <w:autoSpaceDE w:val="0"/>
        <w:autoSpaceDN w:val="0"/>
        <w:adjustRightInd w:val="0"/>
        <w:snapToGrid w:val="0"/>
        <w:spacing w:line="360" w:lineRule="auto"/>
        <w:ind w:firstLine="480"/>
        <w:rPr>
          <w:rFonts w:ascii="仿宋" w:hAnsi="仿宋" w:eastAsia="仿宋" w:cs="仿宋"/>
          <w:bCs/>
          <w:sz w:val="24"/>
          <w:szCs w:val="32"/>
        </w:rPr>
      </w:pPr>
      <w:r>
        <w:rPr>
          <w:rFonts w:hint="eastAsia" w:ascii="仿宋" w:hAnsi="仿宋" w:eastAsia="仿宋" w:cs="仿宋"/>
          <w:bCs/>
          <w:sz w:val="24"/>
          <w:szCs w:val="32"/>
        </w:rPr>
        <w:t>5、</w:t>
      </w:r>
      <w:r>
        <w:rPr>
          <w:rFonts w:hint="eastAsia" w:ascii="仿宋" w:hAnsi="仿宋" w:eastAsia="仿宋" w:cs="仿宋"/>
          <w:sz w:val="24"/>
          <w:szCs w:val="32"/>
        </w:rPr>
        <w:t>结算审计</w:t>
      </w:r>
      <w:r>
        <w:rPr>
          <w:rFonts w:hint="eastAsia" w:ascii="仿宋" w:hAnsi="仿宋" w:eastAsia="仿宋" w:cs="仿宋"/>
          <w:bCs/>
          <w:sz w:val="24"/>
          <w:szCs w:val="32"/>
        </w:rPr>
        <w:t>项目负责人每周在甲方指定地点的工作时间不少于2个工作日，每少一天扣5000元，超过5天，甲方有权解除合同。乙方承担30%的违约金，并承担法律责任。</w:t>
      </w:r>
    </w:p>
    <w:p w14:paraId="2D24D8DC">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（二）乙方的权利与义务</w:t>
      </w:r>
    </w:p>
    <w:p w14:paraId="79A03C92">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1、乙方的工作人员必须严格遵守甲方的规章制度，以良好的形象和积极的工作态度，按甲方要求开展工作。</w:t>
      </w:r>
    </w:p>
    <w:p w14:paraId="1340A647">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2、乙方应服从甲方统筹管理并按流程开展工作。</w:t>
      </w:r>
    </w:p>
    <w:p w14:paraId="3237A160">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rPr>
        <w:t>3</w:t>
      </w:r>
      <w:r>
        <w:rPr>
          <w:rFonts w:hint="eastAsia" w:ascii="仿宋" w:hAnsi="仿宋" w:eastAsia="仿宋" w:cs="仿宋"/>
          <w:sz w:val="24"/>
          <w:szCs w:val="32"/>
          <w:lang w:val="zh-CN"/>
        </w:rPr>
        <w:t>、乙方保证安排的相关人员需按照指定时间到达指定地点进行服务，乙方在</w:t>
      </w:r>
      <w:r>
        <w:rPr>
          <w:rFonts w:hint="eastAsia" w:ascii="仿宋" w:hAnsi="仿宋" w:eastAsia="仿宋" w:cs="仿宋"/>
          <w:sz w:val="24"/>
          <w:szCs w:val="32"/>
        </w:rPr>
        <w:t>服务期间</w:t>
      </w:r>
      <w:r>
        <w:rPr>
          <w:rFonts w:hint="eastAsia" w:ascii="仿宋" w:hAnsi="仿宋" w:eastAsia="仿宋" w:cs="仿宋"/>
          <w:sz w:val="24"/>
          <w:szCs w:val="32"/>
          <w:lang w:val="zh-CN"/>
        </w:rPr>
        <w:t>内不得迟到早退，如有特殊情况，必须事先通知并征得甲方同意。</w:t>
      </w:r>
    </w:p>
    <w:p w14:paraId="1B36A077">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rPr>
        <w:t>4</w:t>
      </w:r>
      <w:r>
        <w:rPr>
          <w:rFonts w:hint="eastAsia" w:ascii="仿宋" w:hAnsi="仿宋" w:eastAsia="仿宋" w:cs="仿宋"/>
          <w:sz w:val="24"/>
          <w:szCs w:val="32"/>
          <w:lang w:val="zh-CN"/>
        </w:rPr>
        <w:t>、乙方在</w:t>
      </w:r>
      <w:r>
        <w:rPr>
          <w:rFonts w:hint="eastAsia" w:ascii="仿宋" w:hAnsi="仿宋" w:eastAsia="仿宋" w:cs="仿宋"/>
          <w:sz w:val="24"/>
          <w:szCs w:val="32"/>
        </w:rPr>
        <w:t>服务期间</w:t>
      </w:r>
      <w:r>
        <w:rPr>
          <w:rFonts w:hint="eastAsia" w:ascii="仿宋" w:hAnsi="仿宋" w:eastAsia="仿宋" w:cs="仿宋"/>
          <w:sz w:val="24"/>
          <w:szCs w:val="32"/>
          <w:lang w:val="zh-CN"/>
        </w:rPr>
        <w:t>发布的任何涉及有关甲方的相关信息，需经甲方确认无误后方可发布。</w:t>
      </w:r>
    </w:p>
    <w:p w14:paraId="19B6BEBD">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六</w:t>
      </w:r>
      <w:r>
        <w:rPr>
          <w:rFonts w:hint="eastAsia" w:ascii="仿宋" w:hAnsi="仿宋" w:eastAsia="仿宋" w:cs="仿宋"/>
          <w:b/>
          <w:bCs/>
          <w:sz w:val="24"/>
          <w:szCs w:val="32"/>
          <w:lang w:val="zh-CN"/>
        </w:rPr>
        <w:t>、服务质量保证</w:t>
      </w:r>
    </w:p>
    <w:p w14:paraId="12C01368">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（一）乙方需派一名项目经理，直接与甲方沟通，项目经理接收甲方提出的问题与要求，并及时反馈给工作组，解决在项目实施过程中遇到的问题。</w:t>
      </w:r>
    </w:p>
    <w:p w14:paraId="6DB53FD7">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（二）项目在实施过程中会出现不可预料的需求变更，乙方需积极配合甲方的需求变更，并按照变更后的需求继续进行方案实施。</w:t>
      </w:r>
    </w:p>
    <w:p w14:paraId="5D5F0ABF">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（三）乙方需提交所有实施方案流程及说明文档。</w:t>
      </w:r>
    </w:p>
    <w:p w14:paraId="222C341B">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（四）乙方需建立高效的管理团队，项目团队组成合理。</w:t>
      </w:r>
    </w:p>
    <w:p w14:paraId="14D7A6CF">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（五）乙方需设有详细的技术资料档案和服务档案，将保存项目的详细资料以便于更好地提供服务</w:t>
      </w:r>
    </w:p>
    <w:p w14:paraId="3027131D">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七</w:t>
      </w:r>
      <w:r>
        <w:rPr>
          <w:rFonts w:hint="eastAsia" w:ascii="仿宋" w:hAnsi="仿宋" w:eastAsia="仿宋" w:cs="仿宋"/>
          <w:b/>
          <w:bCs/>
          <w:sz w:val="24"/>
          <w:szCs w:val="32"/>
          <w:lang w:val="zh-CN"/>
        </w:rPr>
        <w:t>、知识产权</w:t>
      </w:r>
    </w:p>
    <w:p w14:paraId="6615170D">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 xml:space="preserve">（一）本项目所涉及到的所有成果的知识产权归甲方所有。 </w:t>
      </w:r>
    </w:p>
    <w:p w14:paraId="52222D8E">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043A86A4">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（三）乙方为执行本合同而提供的技术资料使用权归甲方所有。</w:t>
      </w:r>
    </w:p>
    <w:p w14:paraId="544C0430">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八</w:t>
      </w:r>
      <w:r>
        <w:rPr>
          <w:rFonts w:hint="eastAsia" w:ascii="仿宋" w:hAnsi="仿宋" w:eastAsia="仿宋" w:cs="仿宋"/>
          <w:b/>
          <w:bCs/>
          <w:sz w:val="24"/>
          <w:szCs w:val="32"/>
          <w:lang w:val="zh-CN"/>
        </w:rPr>
        <w:t>、其它事项</w:t>
      </w:r>
    </w:p>
    <w:p w14:paraId="034991A3">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（一）乙方不得将项目转让、分包给其它单位或个人。</w:t>
      </w:r>
    </w:p>
    <w:p w14:paraId="3864D8C8">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（二）乙方的</w:t>
      </w:r>
      <w:r>
        <w:rPr>
          <w:rFonts w:hint="eastAsia" w:ascii="仿宋" w:hAnsi="仿宋" w:eastAsia="仿宋" w:cs="仿宋"/>
          <w:sz w:val="24"/>
          <w:szCs w:val="32"/>
        </w:rPr>
        <w:t>响应</w:t>
      </w:r>
      <w:r>
        <w:rPr>
          <w:rFonts w:hint="eastAsia" w:ascii="仿宋" w:hAnsi="仿宋" w:eastAsia="仿宋" w:cs="仿宋"/>
          <w:sz w:val="24"/>
          <w:szCs w:val="32"/>
          <w:lang w:val="zh-CN"/>
        </w:rPr>
        <w:t>文件和承诺等内容将列入合同。</w:t>
      </w:r>
    </w:p>
    <w:p w14:paraId="0FDD3DD7">
      <w:pPr>
        <w:widowControl/>
        <w:adjustRightInd w:val="0"/>
        <w:snapToGrid w:val="0"/>
        <w:spacing w:line="360" w:lineRule="auto"/>
        <w:ind w:firstLine="482" w:firstLineChars="200"/>
        <w:jc w:val="left"/>
        <w:rPr>
          <w:rFonts w:ascii="仿宋" w:hAnsi="仿宋" w:eastAsia="仿宋" w:cs="仿宋"/>
          <w:b/>
          <w:bCs/>
          <w:sz w:val="24"/>
          <w:szCs w:val="32"/>
        </w:rPr>
      </w:pPr>
      <w:r>
        <w:rPr>
          <w:rFonts w:hint="eastAsia" w:ascii="仿宋" w:hAnsi="仿宋" w:eastAsia="仿宋" w:cs="仿宋"/>
          <w:b/>
          <w:bCs/>
          <w:sz w:val="24"/>
          <w:szCs w:val="32"/>
        </w:rPr>
        <w:t>九</w:t>
      </w:r>
      <w:r>
        <w:rPr>
          <w:rFonts w:hint="eastAsia" w:ascii="仿宋" w:hAnsi="仿宋" w:eastAsia="仿宋" w:cs="仿宋"/>
          <w:b/>
          <w:bCs/>
          <w:sz w:val="24"/>
          <w:szCs w:val="32"/>
          <w:lang w:val="zh-CN"/>
        </w:rPr>
        <w:t>、</w:t>
      </w:r>
      <w:r>
        <w:rPr>
          <w:rFonts w:hint="eastAsia" w:ascii="仿宋" w:hAnsi="仿宋" w:eastAsia="仿宋" w:cs="仿宋"/>
          <w:b/>
          <w:bCs/>
          <w:sz w:val="24"/>
          <w:szCs w:val="32"/>
        </w:rPr>
        <w:t>审计服务质量评价</w:t>
      </w:r>
    </w:p>
    <w:p w14:paraId="359A08AB">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服务期满后，由甲方对乙方提供的审计服务进行质量评价并填写《审计服务质量评价表》作为对本次服务的最终认可，主要通过工作能力、配合程度、职业操守、工作规范性及工作建设性等五个方面综合评价审计服务。</w:t>
      </w:r>
    </w:p>
    <w:p w14:paraId="714B5E5C">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十、</w:t>
      </w:r>
      <w:r>
        <w:rPr>
          <w:rFonts w:hint="eastAsia" w:ascii="仿宋" w:hAnsi="仿宋" w:eastAsia="仿宋" w:cs="仿宋"/>
          <w:b/>
          <w:bCs/>
          <w:sz w:val="24"/>
          <w:szCs w:val="32"/>
          <w:lang w:val="zh-CN"/>
        </w:rPr>
        <w:t>违约责任</w:t>
      </w:r>
    </w:p>
    <w:p w14:paraId="085F9AB8">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十、违约责任</w:t>
      </w:r>
    </w:p>
    <w:p w14:paraId="56BF3133">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在本项目结算送审资料完备时，乙方未按照本合同规定时间提交初审结果的，每延期1天应向甲方支付违约金500元，项目延期超出15天，甲方有权解除合同，合同自甲方发出解约通知之日起解除，乙方向甲方支付合同金额20%的违约金，并将已完成工作成果无条件交付甲方。</w:t>
      </w:r>
    </w:p>
    <w:p w14:paraId="7FCF5FBE">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经甲方核实，若乙方提交的成果文件中某项清单或措施费等单项造价超过3%的甲方有权追究乙方的工作质量责任，若发生重大误差项（单项清单或单项措施费差异超过5%）在3项及以上，按照2000元/项进行处罚，且甲方有权单方面解除本合同，合同自甲方发出解约通知之日起解除，乙方应向甲方支付合同金额20%的解约违约金，并将已完成工作成果无条件交付甲方。甲方上级单位若对本项目进行审计，审计结果若反映出甲方审计报告有误，乙方负责解释、核对并承担后续一切相关责任。</w:t>
      </w:r>
    </w:p>
    <w:p w14:paraId="519903A5">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三）若乙方所提供的成果文件（包括过程资料、格式等）未能达到甲方要求(此条不包含重大误差)，乙方应继续完成工作，直至符合甲方要求，如自甲方通知乙方修改之日起20日内乙方仍不能提交合格的工作成果，甲方有权解除合同，乙方应向甲方支付合同金额20%的解约违约金，并将已完成工作成果及结算资料无条件交付甲方。</w:t>
      </w:r>
    </w:p>
    <w:p w14:paraId="762DA216">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四）按合同要求提供服务或服务质量不能满足采购技术要求，乙方必须无条件提高技术，完善服务质量，否则，甲方会同监督机构、采购代理机构有权终止合同并对乙方违约行为进行追究，同时按招标投标管理办法进行相应的处罚。</w:t>
      </w:r>
    </w:p>
    <w:p w14:paraId="18A70B7E">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（五）任何一方因不可抗力原因不能履行协议时，应尽快通知对方，双方均设法补偿。如仍无法履约协议，可协商延缓或撤销协议，双方互不承担违约责任。</w:t>
      </w:r>
    </w:p>
    <w:p w14:paraId="5B709479">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rPr>
        <w:t>十一</w:t>
      </w:r>
      <w:r>
        <w:rPr>
          <w:rFonts w:hint="eastAsia" w:ascii="仿宋" w:hAnsi="仿宋" w:eastAsia="仿宋" w:cs="仿宋"/>
          <w:b/>
          <w:bCs/>
          <w:sz w:val="24"/>
          <w:szCs w:val="32"/>
          <w:lang w:val="zh-CN"/>
        </w:rPr>
        <w:t>、合同争议解决的方式</w:t>
      </w:r>
    </w:p>
    <w:p w14:paraId="08FCCC8A">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本合同在履行过程中发生的争议，由甲、乙双方当事人协商解决，协商不成的按下列第</w:t>
      </w:r>
      <w:r>
        <w:rPr>
          <w:rFonts w:hint="eastAsia" w:ascii="仿宋" w:hAnsi="仿宋" w:eastAsia="仿宋" w:cs="仿宋"/>
          <w:sz w:val="24"/>
          <w:szCs w:val="32"/>
          <w:u w:val="single"/>
          <w:lang w:val="zh-CN"/>
        </w:rPr>
        <w:t>（二）</w:t>
      </w:r>
      <w:r>
        <w:rPr>
          <w:rFonts w:hint="eastAsia" w:ascii="仿宋" w:hAnsi="仿宋" w:eastAsia="仿宋" w:cs="仿宋"/>
          <w:sz w:val="24"/>
          <w:szCs w:val="32"/>
          <w:lang w:val="zh-CN"/>
        </w:rPr>
        <w:t>种方式解决：</w:t>
      </w:r>
    </w:p>
    <w:p w14:paraId="653F70CB">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（一）提交西安仲裁委员会仲裁。</w:t>
      </w:r>
    </w:p>
    <w:p w14:paraId="4DD71175">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（二）依法向甲方所在地人民法院起诉。</w:t>
      </w:r>
    </w:p>
    <w:p w14:paraId="4EC59D0E">
      <w:pPr>
        <w:widowControl/>
        <w:adjustRightInd w:val="0"/>
        <w:snapToGrid w:val="0"/>
        <w:spacing w:line="360" w:lineRule="auto"/>
        <w:ind w:firstLine="482" w:firstLineChars="200"/>
        <w:jc w:val="left"/>
        <w:rPr>
          <w:rFonts w:ascii="仿宋" w:hAnsi="仿宋" w:eastAsia="仿宋" w:cs="仿宋"/>
          <w:b/>
          <w:bCs/>
          <w:sz w:val="24"/>
          <w:szCs w:val="32"/>
          <w:lang w:val="zh-CN"/>
        </w:rPr>
      </w:pPr>
      <w:r>
        <w:rPr>
          <w:rFonts w:hint="eastAsia" w:ascii="仿宋" w:hAnsi="仿宋" w:eastAsia="仿宋" w:cs="仿宋"/>
          <w:b/>
          <w:bCs/>
          <w:sz w:val="24"/>
          <w:szCs w:val="32"/>
          <w:lang w:val="zh-CN"/>
        </w:rPr>
        <w:t>十</w:t>
      </w:r>
      <w:r>
        <w:rPr>
          <w:rFonts w:hint="eastAsia" w:ascii="仿宋" w:hAnsi="仿宋" w:eastAsia="仿宋" w:cs="仿宋"/>
          <w:b/>
          <w:bCs/>
          <w:sz w:val="24"/>
          <w:szCs w:val="32"/>
        </w:rPr>
        <w:t>二</w:t>
      </w:r>
      <w:r>
        <w:rPr>
          <w:rFonts w:hint="eastAsia" w:ascii="仿宋" w:hAnsi="仿宋" w:eastAsia="仿宋" w:cs="仿宋"/>
          <w:b/>
          <w:bCs/>
          <w:sz w:val="24"/>
          <w:szCs w:val="32"/>
          <w:lang w:val="zh-CN"/>
        </w:rPr>
        <w:t>、合同生效</w:t>
      </w:r>
    </w:p>
    <w:p w14:paraId="0E26FCFA">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（一）本合同经双方签字盖章后生效。</w:t>
      </w:r>
    </w:p>
    <w:p w14:paraId="08C3C2F6">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（二）本合同须经甲、乙双方的法定代表人（授权代理人）在合同书上签字并加盖本单位公章后正式生效。</w:t>
      </w:r>
    </w:p>
    <w:p w14:paraId="591B1D6D">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（三）合同生效后，甲、乙双方须严格执行本合同条款的规定，全面履行合同，违者按《中华人民共和国民法典》的有关规定承担相应责任。</w:t>
      </w:r>
    </w:p>
    <w:p w14:paraId="0044B212">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（四）本合同一式</w:t>
      </w:r>
      <w:r>
        <w:rPr>
          <w:rFonts w:hint="eastAsia" w:ascii="仿宋" w:hAnsi="仿宋" w:eastAsia="仿宋" w:cs="仿宋"/>
          <w:sz w:val="24"/>
          <w:szCs w:val="32"/>
          <w:u w:val="single"/>
          <w:lang w:val="zh-CN"/>
        </w:rPr>
        <w:t xml:space="preserve">   </w:t>
      </w:r>
      <w:r>
        <w:rPr>
          <w:rFonts w:hint="eastAsia" w:ascii="仿宋" w:hAnsi="仿宋" w:eastAsia="仿宋" w:cs="仿宋"/>
          <w:sz w:val="24"/>
          <w:szCs w:val="32"/>
          <w:lang w:val="zh-CN"/>
        </w:rPr>
        <w:t>份，甲乙双方各执</w:t>
      </w:r>
      <w:r>
        <w:rPr>
          <w:rFonts w:hint="eastAsia" w:ascii="仿宋" w:hAnsi="仿宋" w:eastAsia="仿宋" w:cs="仿宋"/>
          <w:sz w:val="24"/>
          <w:szCs w:val="32"/>
          <w:u w:val="single"/>
          <w:lang w:val="zh-CN"/>
        </w:rPr>
        <w:t xml:space="preserve">    </w:t>
      </w:r>
      <w:r>
        <w:rPr>
          <w:rFonts w:hint="eastAsia" w:ascii="仿宋" w:hAnsi="仿宋" w:eastAsia="仿宋" w:cs="仿宋"/>
          <w:sz w:val="24"/>
          <w:szCs w:val="32"/>
          <w:lang w:val="zh-CN"/>
        </w:rPr>
        <w:t>份。</w:t>
      </w:r>
    </w:p>
    <w:p w14:paraId="66701D5A">
      <w:pPr>
        <w:widowControl/>
        <w:adjustRightInd w:val="0"/>
        <w:snapToGrid w:val="0"/>
        <w:spacing w:line="360" w:lineRule="auto"/>
        <w:ind w:firstLine="480" w:firstLineChars="200"/>
        <w:jc w:val="left"/>
        <w:rPr>
          <w:rFonts w:ascii="仿宋" w:hAnsi="仿宋" w:eastAsia="仿宋" w:cs="仿宋"/>
          <w:sz w:val="24"/>
          <w:szCs w:val="32"/>
          <w:lang w:val="zh-CN"/>
        </w:rPr>
      </w:pPr>
      <w:r>
        <w:rPr>
          <w:rFonts w:hint="eastAsia" w:ascii="仿宋" w:hAnsi="仿宋" w:eastAsia="仿宋" w:cs="仿宋"/>
          <w:sz w:val="24"/>
          <w:szCs w:val="32"/>
          <w:lang w:val="zh-CN"/>
        </w:rPr>
        <w:t>（五）本合同如有未尽事宜，甲、乙双方协商解决。</w:t>
      </w:r>
    </w:p>
    <w:p w14:paraId="7622E41A">
      <w:pPr>
        <w:pStyle w:val="3"/>
        <w:rPr>
          <w:rFonts w:ascii="仿宋" w:hAnsi="仿宋" w:eastAsia="仿宋" w:cs="仿宋"/>
          <w:sz w:val="18"/>
          <w:lang w:val="zh-CN"/>
        </w:rPr>
      </w:pPr>
    </w:p>
    <w:tbl>
      <w:tblPr>
        <w:tblStyle w:val="9"/>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0B6B088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3395C2F1">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甲  方</w:t>
            </w:r>
          </w:p>
        </w:tc>
        <w:tc>
          <w:tcPr>
            <w:tcW w:w="4202" w:type="dxa"/>
            <w:vAlign w:val="center"/>
          </w:tcPr>
          <w:p w14:paraId="13645705">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乙  方</w:t>
            </w:r>
          </w:p>
        </w:tc>
      </w:tr>
      <w:tr w14:paraId="004BFB7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2432CEE1">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（盖章）</w:t>
            </w:r>
          </w:p>
        </w:tc>
        <w:tc>
          <w:tcPr>
            <w:tcW w:w="4202" w:type="dxa"/>
            <w:vAlign w:val="center"/>
          </w:tcPr>
          <w:p w14:paraId="4C374B2E">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（盖章）</w:t>
            </w:r>
          </w:p>
        </w:tc>
      </w:tr>
      <w:tr w14:paraId="709DA02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7DFA5F83">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 xml:space="preserve">地址： </w:t>
            </w:r>
          </w:p>
        </w:tc>
        <w:tc>
          <w:tcPr>
            <w:tcW w:w="4202" w:type="dxa"/>
            <w:vAlign w:val="center"/>
          </w:tcPr>
          <w:p w14:paraId="092F24A6">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地址：</w:t>
            </w:r>
          </w:p>
        </w:tc>
      </w:tr>
      <w:tr w14:paraId="0DC5CDD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6A154284">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邮编：</w:t>
            </w:r>
          </w:p>
        </w:tc>
        <w:tc>
          <w:tcPr>
            <w:tcW w:w="4202" w:type="dxa"/>
            <w:vAlign w:val="center"/>
          </w:tcPr>
          <w:p w14:paraId="4CA5C00F">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邮编：</w:t>
            </w:r>
          </w:p>
        </w:tc>
      </w:tr>
      <w:tr w14:paraId="442E5B0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7875F157">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 xml:space="preserve">法定代表人： </w:t>
            </w:r>
          </w:p>
        </w:tc>
        <w:tc>
          <w:tcPr>
            <w:tcW w:w="4202" w:type="dxa"/>
            <w:vAlign w:val="center"/>
          </w:tcPr>
          <w:p w14:paraId="5FB880B4">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法定代表人：</w:t>
            </w:r>
          </w:p>
        </w:tc>
      </w:tr>
      <w:tr w14:paraId="10BC88D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4166C2A8">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被授权代表：</w:t>
            </w:r>
          </w:p>
        </w:tc>
        <w:tc>
          <w:tcPr>
            <w:tcW w:w="4202" w:type="dxa"/>
            <w:vAlign w:val="center"/>
          </w:tcPr>
          <w:p w14:paraId="1E4679D4">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被授权代表：</w:t>
            </w:r>
          </w:p>
        </w:tc>
      </w:tr>
      <w:tr w14:paraId="3A0E291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2BDA7D3E">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电话：</w:t>
            </w:r>
          </w:p>
        </w:tc>
        <w:tc>
          <w:tcPr>
            <w:tcW w:w="4202" w:type="dxa"/>
            <w:vAlign w:val="center"/>
          </w:tcPr>
          <w:p w14:paraId="780384E4">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电话：</w:t>
            </w:r>
          </w:p>
        </w:tc>
      </w:tr>
      <w:tr w14:paraId="1C827BD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4C4A7653">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传真：</w:t>
            </w:r>
          </w:p>
        </w:tc>
        <w:tc>
          <w:tcPr>
            <w:tcW w:w="4202" w:type="dxa"/>
            <w:vAlign w:val="center"/>
          </w:tcPr>
          <w:p w14:paraId="5FAA1F5F">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传真：</w:t>
            </w:r>
          </w:p>
        </w:tc>
      </w:tr>
      <w:tr w14:paraId="04D567A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54D4E7E0">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开户银行：</w:t>
            </w:r>
          </w:p>
        </w:tc>
        <w:tc>
          <w:tcPr>
            <w:tcW w:w="4202" w:type="dxa"/>
            <w:vAlign w:val="center"/>
          </w:tcPr>
          <w:p w14:paraId="06D06C3F">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开户银行：</w:t>
            </w:r>
          </w:p>
        </w:tc>
      </w:tr>
      <w:tr w14:paraId="2A32291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vAlign w:val="center"/>
          </w:tcPr>
          <w:p w14:paraId="09F574EA">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日期：</w:t>
            </w:r>
          </w:p>
        </w:tc>
        <w:tc>
          <w:tcPr>
            <w:tcW w:w="4202" w:type="dxa"/>
            <w:vAlign w:val="center"/>
          </w:tcPr>
          <w:p w14:paraId="2892FE4A">
            <w:pPr>
              <w:widowControl/>
              <w:adjustRightInd w:val="0"/>
              <w:snapToGrid w:val="0"/>
              <w:spacing w:line="560" w:lineRule="exact"/>
              <w:jc w:val="left"/>
              <w:rPr>
                <w:rFonts w:ascii="仿宋" w:hAnsi="仿宋" w:eastAsia="仿宋" w:cs="仿宋"/>
                <w:sz w:val="24"/>
                <w:szCs w:val="32"/>
                <w:lang w:val="zh-CN"/>
              </w:rPr>
            </w:pPr>
            <w:r>
              <w:rPr>
                <w:rFonts w:hint="eastAsia" w:ascii="仿宋" w:hAnsi="仿宋" w:eastAsia="仿宋" w:cs="仿宋"/>
                <w:sz w:val="24"/>
                <w:szCs w:val="32"/>
                <w:lang w:val="zh-CN"/>
              </w:rPr>
              <w:t>日期：</w:t>
            </w:r>
          </w:p>
        </w:tc>
      </w:tr>
    </w:tbl>
    <w:p w14:paraId="615F006A">
      <w:pPr>
        <w:rPr>
          <w:rFonts w:ascii="仿宋" w:hAnsi="仿宋" w:eastAsia="仿宋" w:cs="仿宋"/>
          <w:sz w:val="18"/>
        </w:rPr>
      </w:pPr>
    </w:p>
    <w:p w14:paraId="149FD108">
      <w:pPr>
        <w:pStyle w:val="12"/>
        <w:rPr>
          <w:rFonts w:hint="default" w:ascii="仿宋" w:hAnsi="仿宋" w:eastAsia="仿宋" w:cs="仿宋"/>
          <w:sz w:val="16"/>
        </w:rPr>
      </w:pPr>
    </w:p>
    <w:p w14:paraId="5222D04F"/>
    <w:p w14:paraId="1C9E4D94">
      <w:pPr>
        <w:pStyle w:val="12"/>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451BC"/>
    <w:rsid w:val="00054640"/>
    <w:rsid w:val="00090287"/>
    <w:rsid w:val="000A4509"/>
    <w:rsid w:val="000A46D2"/>
    <w:rsid w:val="000A60C2"/>
    <w:rsid w:val="00103259"/>
    <w:rsid w:val="00111A1D"/>
    <w:rsid w:val="00156FC5"/>
    <w:rsid w:val="0019394D"/>
    <w:rsid w:val="001C1E59"/>
    <w:rsid w:val="001E0B1F"/>
    <w:rsid w:val="0020272D"/>
    <w:rsid w:val="00235693"/>
    <w:rsid w:val="00274C60"/>
    <w:rsid w:val="002A22DE"/>
    <w:rsid w:val="002F0260"/>
    <w:rsid w:val="002F346B"/>
    <w:rsid w:val="002F60B7"/>
    <w:rsid w:val="00342B2D"/>
    <w:rsid w:val="003814C7"/>
    <w:rsid w:val="00392D20"/>
    <w:rsid w:val="003C246C"/>
    <w:rsid w:val="003D3799"/>
    <w:rsid w:val="003D37A2"/>
    <w:rsid w:val="00402A8A"/>
    <w:rsid w:val="00407E21"/>
    <w:rsid w:val="0045081E"/>
    <w:rsid w:val="0045775C"/>
    <w:rsid w:val="004B7E8C"/>
    <w:rsid w:val="004D10D3"/>
    <w:rsid w:val="004F1D63"/>
    <w:rsid w:val="00503ABE"/>
    <w:rsid w:val="00537A6C"/>
    <w:rsid w:val="005466FD"/>
    <w:rsid w:val="005472B2"/>
    <w:rsid w:val="00574D54"/>
    <w:rsid w:val="005860B8"/>
    <w:rsid w:val="00587050"/>
    <w:rsid w:val="005A309C"/>
    <w:rsid w:val="005C5F12"/>
    <w:rsid w:val="00602A76"/>
    <w:rsid w:val="006311B4"/>
    <w:rsid w:val="00631C14"/>
    <w:rsid w:val="006416D7"/>
    <w:rsid w:val="00647FDD"/>
    <w:rsid w:val="00665834"/>
    <w:rsid w:val="00697E17"/>
    <w:rsid w:val="006B4221"/>
    <w:rsid w:val="006C57A6"/>
    <w:rsid w:val="006D6DC6"/>
    <w:rsid w:val="006F705E"/>
    <w:rsid w:val="00720E9B"/>
    <w:rsid w:val="00741D13"/>
    <w:rsid w:val="00744E15"/>
    <w:rsid w:val="00757873"/>
    <w:rsid w:val="00797D19"/>
    <w:rsid w:val="007F7DC9"/>
    <w:rsid w:val="00816428"/>
    <w:rsid w:val="0083721A"/>
    <w:rsid w:val="00855DE6"/>
    <w:rsid w:val="00863580"/>
    <w:rsid w:val="00875D42"/>
    <w:rsid w:val="00875FA4"/>
    <w:rsid w:val="008A2C35"/>
    <w:rsid w:val="008B6D2E"/>
    <w:rsid w:val="008D13DA"/>
    <w:rsid w:val="008E540D"/>
    <w:rsid w:val="009D5F0E"/>
    <w:rsid w:val="00A00033"/>
    <w:rsid w:val="00A02D06"/>
    <w:rsid w:val="00A74FD8"/>
    <w:rsid w:val="00AA1339"/>
    <w:rsid w:val="00AB4D01"/>
    <w:rsid w:val="00B279E6"/>
    <w:rsid w:val="00B5271E"/>
    <w:rsid w:val="00BF0E23"/>
    <w:rsid w:val="00C05190"/>
    <w:rsid w:val="00C05296"/>
    <w:rsid w:val="00C11FCF"/>
    <w:rsid w:val="00C17B83"/>
    <w:rsid w:val="00C803C4"/>
    <w:rsid w:val="00C8264D"/>
    <w:rsid w:val="00C84AB3"/>
    <w:rsid w:val="00C90B98"/>
    <w:rsid w:val="00C95D45"/>
    <w:rsid w:val="00CB04ED"/>
    <w:rsid w:val="00CB254B"/>
    <w:rsid w:val="00CE4AB6"/>
    <w:rsid w:val="00DA4C5C"/>
    <w:rsid w:val="00DB59B2"/>
    <w:rsid w:val="00E04898"/>
    <w:rsid w:val="00E058A1"/>
    <w:rsid w:val="00E10A27"/>
    <w:rsid w:val="00E13794"/>
    <w:rsid w:val="00E175CD"/>
    <w:rsid w:val="00E17AFB"/>
    <w:rsid w:val="00E46FA5"/>
    <w:rsid w:val="00E54139"/>
    <w:rsid w:val="00E67266"/>
    <w:rsid w:val="00EF12E0"/>
    <w:rsid w:val="00EF2560"/>
    <w:rsid w:val="00F01A39"/>
    <w:rsid w:val="00F530A5"/>
    <w:rsid w:val="00F74BAC"/>
    <w:rsid w:val="00FC6AED"/>
    <w:rsid w:val="177F50ED"/>
    <w:rsid w:val="498547A7"/>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iPriority w:val="0"/>
    <w:pPr>
      <w:jc w:val="left"/>
    </w:pPr>
  </w:style>
  <w:style w:type="paragraph" w:styleId="3">
    <w:name w:val="Body Text"/>
    <w:basedOn w:val="1"/>
    <w:link w:val="18"/>
    <w:unhideWhenUsed/>
    <w:qFormat/>
    <w:uiPriority w:val="0"/>
    <w:pPr>
      <w:spacing w:after="120"/>
    </w:pPr>
    <w:rPr>
      <w:rFonts w:ascii="Times New Roman" w:hAnsi="Times New Roman" w:eastAsia="宋体" w:cs="Times New Roman"/>
      <w:szCs w:val="20"/>
    </w:rPr>
  </w:style>
  <w:style w:type="paragraph" w:styleId="4">
    <w:name w:val="Balloon Text"/>
    <w:basedOn w:val="1"/>
    <w:link w:val="17"/>
    <w:uiPriority w:val="0"/>
    <w:rPr>
      <w:sz w:val="18"/>
      <w:szCs w:val="18"/>
    </w:rPr>
  </w:style>
  <w:style w:type="paragraph" w:styleId="5">
    <w:name w:val="footer"/>
    <w:basedOn w:val="1"/>
    <w:link w:val="14"/>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8">
    <w:name w:val="annotation subject"/>
    <w:basedOn w:val="2"/>
    <w:next w:val="2"/>
    <w:link w:val="16"/>
    <w:uiPriority w:val="0"/>
    <w:rPr>
      <w:b/>
      <w:bCs/>
    </w:rPr>
  </w:style>
  <w:style w:type="character" w:styleId="11">
    <w:name w:val="annotation reference"/>
    <w:basedOn w:val="10"/>
    <w:qFormat/>
    <w:uiPriority w:val="0"/>
    <w:rPr>
      <w:sz w:val="21"/>
      <w:szCs w:val="21"/>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character" w:customStyle="1" w:styleId="13">
    <w:name w:val="页眉 Char"/>
    <w:basedOn w:val="10"/>
    <w:link w:val="6"/>
    <w:qFormat/>
    <w:uiPriority w:val="0"/>
    <w:rPr>
      <w:kern w:val="2"/>
      <w:sz w:val="18"/>
      <w:szCs w:val="18"/>
    </w:rPr>
  </w:style>
  <w:style w:type="character" w:customStyle="1" w:styleId="14">
    <w:name w:val="页脚 Char"/>
    <w:basedOn w:val="10"/>
    <w:link w:val="5"/>
    <w:uiPriority w:val="0"/>
    <w:rPr>
      <w:kern w:val="2"/>
      <w:sz w:val="18"/>
      <w:szCs w:val="18"/>
    </w:rPr>
  </w:style>
  <w:style w:type="character" w:customStyle="1" w:styleId="15">
    <w:name w:val="批注文字 Char"/>
    <w:basedOn w:val="10"/>
    <w:link w:val="2"/>
    <w:uiPriority w:val="0"/>
    <w:rPr>
      <w:kern w:val="2"/>
      <w:sz w:val="21"/>
      <w:szCs w:val="24"/>
    </w:rPr>
  </w:style>
  <w:style w:type="character" w:customStyle="1" w:styleId="16">
    <w:name w:val="批注主题 Char"/>
    <w:basedOn w:val="15"/>
    <w:link w:val="8"/>
    <w:uiPriority w:val="0"/>
    <w:rPr>
      <w:b/>
      <w:bCs/>
      <w:kern w:val="2"/>
      <w:sz w:val="21"/>
      <w:szCs w:val="24"/>
    </w:rPr>
  </w:style>
  <w:style w:type="character" w:customStyle="1" w:styleId="17">
    <w:name w:val="批注框文本 Char"/>
    <w:basedOn w:val="10"/>
    <w:link w:val="4"/>
    <w:qFormat/>
    <w:uiPriority w:val="0"/>
    <w:rPr>
      <w:kern w:val="2"/>
      <w:sz w:val="18"/>
      <w:szCs w:val="18"/>
    </w:rPr>
  </w:style>
  <w:style w:type="character" w:customStyle="1" w:styleId="18">
    <w:name w:val="正文文本 Char"/>
    <w:basedOn w:val="10"/>
    <w:link w:val="3"/>
    <w:qFormat/>
    <w:uiPriority w:val="0"/>
    <w:rPr>
      <w:rFonts w:ascii="Times New Roman" w:hAnsi="Times New Roman" w:eastAsia="宋体" w:cs="Times New Roman"/>
      <w:kern w:val="2"/>
      <w:sz w:val="21"/>
    </w:rPr>
  </w:style>
  <w:style w:type="paragraph" w:styleId="19">
    <w:name w:val="List Paragraph"/>
    <w:basedOn w:val="1"/>
    <w:next w:val="1"/>
    <w:qFormat/>
    <w:uiPriority w:val="34"/>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5245</Words>
  <Characters>5603</Characters>
  <Lines>215</Lines>
  <Paragraphs>60</Paragraphs>
  <TotalTime>19</TotalTime>
  <ScaleCrop>false</ScaleCrop>
  <LinksUpToDate>false</LinksUpToDate>
  <CharactersWithSpaces>5671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2026-07-02T10:44:00Z</dcterms:created>
  <dc:creator>五块钱</dc:creator>
  <cp:lastModifiedBy>马雪松</cp:lastModifiedBy>
  <dcterms:modified xsi:type="dcterms:W3CDTF">2026-07-08T12:06:24Z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eyJoZGlkIjoiNzc1OTNlNzE5NDNjOTVjMzQ5OGFkMDY2YjViZmE2NDQiLCJ1c2VySWQiOiIxNDU4OTQ5NDM0In0=</vt:lpwstr>
  </property>
  <property fmtid="{D5CDD505-2E9C-101B-9397-08002B2CF9AE}" pid="4" name="ICV">
    <vt:lpwstr>3D7E8389ED2F40EFA700778065636A26_12</vt:lpwstr>
  </property>
</Properties>
</file>