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版本号：SZY20261380082-1.1B120260727001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14号学生宿舍楼工程结算审计项目(二次)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SZY20261380082-1.1B1</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希格玛工程管理咨询股份有限公司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希格玛工程管理咨询股份有限公司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14号学生宿舍楼工程结算审计项目(二次)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SZY20261380082-1.1B1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14号学生宿舍楼工程结算审计项目(二次)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本次采购为14号学生宿舍楼工程结算审计项目，具体内容详见本项目采购文件。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为具有独立承担民事责任能力的法人或其他组织，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2、项目负责人资质：拟派项目负责人须具备一级注册造价工程师执业资格，且在本单位注册。</w:t>
      </w:r>
    </w:p>
    <w:p>
      <w:pPr>
        <w:pStyle w:val="null3"/>
      </w:pPr>
      <w:r>
        <w:rPr>
          <w:rFonts w:ascii="仿宋_GB2312" w:hAnsi="仿宋_GB2312" w:cs="仿宋_GB2312" w:eastAsia="仿宋_GB2312"/>
        </w:rPr>
        <w:t>3、财务状况报告：提供2024年度或2025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注:财务审计报告必须经注册会计师行业统一监管平台备案赋码。</w:t>
      </w:r>
    </w:p>
    <w:p>
      <w:pPr>
        <w:pStyle w:val="null3"/>
      </w:pPr>
      <w:r>
        <w:rPr>
          <w:rFonts w:ascii="仿宋_GB2312" w:hAnsi="仿宋_GB2312" w:cs="仿宋_GB2312" w:eastAsia="仿宋_GB2312"/>
        </w:rPr>
        <w:t>4、税收缴纳证明：提供磋商响应文件递交截止时间前六个月内至少三个月已缴纳的纳税凭据或完税证明;依法免税的供应商应提供相关文件证明。</w:t>
      </w:r>
    </w:p>
    <w:p>
      <w:pPr>
        <w:pStyle w:val="null3"/>
      </w:pPr>
      <w:r>
        <w:rPr>
          <w:rFonts w:ascii="仿宋_GB2312" w:hAnsi="仿宋_GB2312" w:cs="仿宋_GB2312" w:eastAsia="仿宋_GB2312"/>
        </w:rPr>
        <w:t>5、社会保障资金缴纳证明：提供磋商响应文件截止时间前一年内已缴存的至少六个月 的社会保障资金缴存单据或社保机构开具的社会保险参保缴费情况证明，依法不需要缴纳社会保障资金的单位应提供相关证明材料。(社保证明至少包含基本养老保险、工伤保险、失业保险、基本医疗保险 )</w:t>
      </w:r>
    </w:p>
    <w:p>
      <w:pPr>
        <w:pStyle w:val="null3"/>
      </w:pPr>
      <w:r>
        <w:rPr>
          <w:rFonts w:ascii="仿宋_GB2312" w:hAnsi="仿宋_GB2312" w:cs="仿宋_GB2312" w:eastAsia="仿宋_GB2312"/>
        </w:rPr>
        <w:t>6、书面声明：提供三年内在经营活动中没有重大违法记录的书面声明。</w:t>
      </w:r>
    </w:p>
    <w:p>
      <w:pPr>
        <w:pStyle w:val="null3"/>
      </w:pPr>
      <w:r>
        <w:rPr>
          <w:rFonts w:ascii="仿宋_GB2312" w:hAnsi="仿宋_GB2312" w:cs="仿宋_GB2312" w:eastAsia="仿宋_GB2312"/>
        </w:rPr>
        <w:t>7、信誉要求：供应商不得为“信用中国”网站(www.creditchinl.gov.cn)中列入失信被执行人和重大税收违法案件当事人名单的供应商。不处于“中国政府采购网”记录的“政府采购严重违法失信行为记录名单”中的禁止参加政府采购活动期间。（无须提供，以采购人或采购代理机构磋商当日查询结果为准）</w:t>
      </w:r>
    </w:p>
    <w:p>
      <w:pPr>
        <w:pStyle w:val="null3"/>
      </w:pPr>
      <w:r>
        <w:rPr>
          <w:rFonts w:ascii="仿宋_GB2312" w:hAnsi="仿宋_GB2312" w:cs="仿宋_GB2312" w:eastAsia="仿宋_GB2312"/>
        </w:rPr>
        <w:t>8、其他：本项目不接受与招标采购人合作过程中存在重大违法或不良履约记录的单位响应。(提供承诺书)</w:t>
      </w:r>
    </w:p>
    <w:p>
      <w:pPr>
        <w:pStyle w:val="null3"/>
      </w:pPr>
      <w:r>
        <w:rPr>
          <w:rFonts w:ascii="仿宋_GB2312" w:hAnsi="仿宋_GB2312" w:cs="仿宋_GB2312" w:eastAsia="仿宋_GB2312"/>
        </w:rPr>
        <w:t>9、专业技术能力：具有履行本合同所必需的设备和专业技术能力：提供具有履行本合同所必需的设备和专业技术能力的书面声明。</w:t>
      </w:r>
    </w:p>
    <w:p>
      <w:pPr>
        <w:pStyle w:val="null3"/>
      </w:pPr>
      <w:r>
        <w:rPr>
          <w:rFonts w:ascii="仿宋_GB2312" w:hAnsi="仿宋_GB2312" w:cs="仿宋_GB2312" w:eastAsia="仿宋_GB2312"/>
        </w:rPr>
        <w:t>10、非联合体：本项目不接受联合体磋商。（提供承诺书）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咸阳市世纪大道中段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希格玛工程管理咨询股份有限公司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西安高新路25号希格玛大厦裙楼414室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刘起立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029-88275952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代理服务费收费标准：代理服务费收费标准：4500元。 代理服务费缴纳信息如下： 银行户名：希格玛工程管理咨询股份有限公司 开户行名称：中国银行西安光华路支行 账 号：102114965117 联 系 人：刘工 联系电话：029-88275952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希格玛工程管理咨询股份有限公司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陕西中医药大学</w:t>
      </w:r>
      <w:r>
        <w:rPr>
          <w:rFonts w:ascii="仿宋_GB2312" w:hAnsi="仿宋_GB2312" w:cs="仿宋_GB2312" w:eastAsia="仿宋_GB2312"/>
        </w:rPr>
        <w:t>负责解释。除上述磋商文件内容，其他内容由</w:t>
      </w:r>
      <w:r>
        <w:rPr>
          <w:rFonts w:ascii="仿宋_GB2312" w:hAnsi="仿宋_GB2312" w:cs="仿宋_GB2312" w:eastAsia="仿宋_GB2312"/>
        </w:rPr>
        <w:t>希格玛工程管理咨询股份有限公司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希格玛工程管理咨询股份有限公司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希格玛工程管理咨询股份有限公司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希格玛工程管理咨询股份有限公司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希格玛工程管理咨询股份有限公司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联系人：刘起立</w:t>
      </w:r>
    </w:p>
    <w:p>
      <w:pPr>
        <w:pStyle w:val="null3"/>
      </w:pPr>
      <w:r>
        <w:rPr>
          <w:rFonts w:ascii="仿宋_GB2312" w:hAnsi="仿宋_GB2312" w:cs="仿宋_GB2312" w:eastAsia="仿宋_GB2312"/>
        </w:rPr>
        <w:t>联系电话：029-88275952</w:t>
      </w:r>
    </w:p>
    <w:p>
      <w:pPr>
        <w:pStyle w:val="null3"/>
      </w:pPr>
      <w:r>
        <w:rPr>
          <w:rFonts w:ascii="仿宋_GB2312" w:hAnsi="仿宋_GB2312" w:cs="仿宋_GB2312" w:eastAsia="仿宋_GB2312"/>
        </w:rPr>
        <w:t>地址：西安高新路25号希格玛大厦裙楼414室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对陕西中医药大学14号学生宿舍楼工程结算审计项目，按时出具结算审核报告。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168,800.00</w:t>
      </w:r>
    </w:p>
    <w:p>
      <w:pPr>
        <w:pStyle w:val="null3"/>
      </w:pPr>
      <w:r>
        <w:rPr>
          <w:rFonts w:ascii="仿宋_GB2312" w:hAnsi="仿宋_GB2312" w:cs="仿宋_GB2312" w:eastAsia="仿宋_GB2312"/>
        </w:rPr>
        <w:t>采购包最高限价（元）: 168,800.00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14号学生宿舍楼工程结算审计项目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168,800.00</w:t>
            </w:r>
          </w:p>
        </w:tc>
        <w:tc>
          <w:tcPr>
            <w:tcW w:type="dxa" w:w="755"/>
          </w:tcPr>
          <w:p>
            <w:pPr>
              <w:pStyle w:val="null3"/>
            </w:pPr>
            <w:r>
              <w:rPr>
                <w:rFonts w:ascii="仿宋_GB2312" w:hAnsi="仿宋_GB2312" w:cs="仿宋_GB2312" w:eastAsia="仿宋_GB2312"/>
              </w:rPr>
              <w:t>家</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标的名称：14号学生宿舍楼工程结算审计项目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rPr>
              <w:t>一、服务内容：</w:t>
            </w:r>
          </w:p>
          <w:p>
            <w:pPr>
              <w:pStyle w:val="null3"/>
            </w:pPr>
            <w:r>
              <w:rPr>
                <w:rFonts w:ascii="仿宋_GB2312" w:hAnsi="仿宋_GB2312" w:cs="仿宋_GB2312" w:eastAsia="仿宋_GB2312"/>
                <w:sz w:val="18"/>
              </w:rPr>
              <w:t>1.服务范围:14号学生宿舍楼工程结算审核</w:t>
            </w:r>
          </w:p>
          <w:p>
            <w:pPr>
              <w:pStyle w:val="null3"/>
            </w:pPr>
            <w:r>
              <w:rPr>
                <w:rFonts w:ascii="仿宋_GB2312" w:hAnsi="仿宋_GB2312" w:cs="仿宋_GB2312" w:eastAsia="仿宋_GB2312"/>
                <w:sz w:val="18"/>
              </w:rPr>
              <w:t>2.详细内容:陕西中医药大学14号学生宿舍楼总建筑面积为22545.08平方米，地上共13层，建筑面积18951.84平方米;地下1层，建筑面积3593.24平方米;项目合同金额10893.03万元。</w:t>
            </w:r>
          </w:p>
          <w:p>
            <w:pPr>
              <w:pStyle w:val="null3"/>
            </w:pPr>
            <w:r>
              <w:rPr>
                <w:rFonts w:ascii="仿宋_GB2312" w:hAnsi="仿宋_GB2312" w:cs="仿宋_GB2312" w:eastAsia="仿宋_GB2312"/>
                <w:sz w:val="18"/>
              </w:rPr>
              <w:t>3.最高限价:基本审核费=工程项目竣工结算报审价*0.8‰(基本收费费率);成果效益费=结算审计核减额*1.5%(审减成果费率)</w:t>
            </w:r>
          </w:p>
          <w:p>
            <w:pPr>
              <w:pStyle w:val="null3"/>
            </w:pPr>
            <w:r>
              <w:rPr>
                <w:rFonts w:ascii="仿宋_GB2312" w:hAnsi="仿宋_GB2312" w:cs="仿宋_GB2312" w:eastAsia="仿宋_GB2312"/>
                <w:sz w:val="18"/>
              </w:rPr>
              <w:t>本项目报价报下浮率，即相比以上最高限价费率的下浮率。即基本审核费=工程项目竣工结算报审价*0.8‰*（1-下浮率）</w:t>
            </w:r>
          </w:p>
          <w:p>
            <w:pPr>
              <w:pStyle w:val="null3"/>
            </w:pPr>
            <w:r>
              <w:rPr>
                <w:rFonts w:ascii="仿宋_GB2312" w:hAnsi="仿宋_GB2312" w:cs="仿宋_GB2312" w:eastAsia="仿宋_GB2312"/>
                <w:sz w:val="18"/>
              </w:rPr>
              <w:t>成果效益费=结算审计核减额*1.5%*（1-下浮率）</w:t>
            </w:r>
          </w:p>
          <w:p>
            <w:pPr>
              <w:pStyle w:val="null3"/>
            </w:pPr>
            <w:r>
              <w:rPr>
                <w:rFonts w:ascii="仿宋_GB2312" w:hAnsi="仿宋_GB2312" w:cs="仿宋_GB2312" w:eastAsia="仿宋_GB2312"/>
                <w:sz w:val="18"/>
              </w:rPr>
              <w:t>4.具体要求:(1)拟派本项目人员中审计工作团队人员结构合理，项目负责人必须为一级注册造价工程师，另外至少配备一级注册造价工程师四名(土建专业、安装专业各两名)，且有较强工作能力和沟通能力，能按时完成工作任务。(2)遵守国家有关法律、法规、规章规定，严格履行法定职责。(3)供应商响应时须提供本项目组人员资格证书复印件并加盖公章。</w:t>
            </w:r>
          </w:p>
          <w:p>
            <w:pPr>
              <w:pStyle w:val="null3"/>
            </w:pPr>
            <w:r>
              <w:rPr>
                <w:rFonts w:ascii="仿宋_GB2312" w:hAnsi="仿宋_GB2312" w:cs="仿宋_GB2312" w:eastAsia="仿宋_GB2312"/>
                <w:sz w:val="18"/>
              </w:rPr>
              <w:t>(4)事务所必须与我校相关负责人无经济利益关系。</w:t>
            </w:r>
          </w:p>
          <w:p>
            <w:pPr>
              <w:pStyle w:val="null3"/>
            </w:pPr>
            <w:r>
              <w:rPr>
                <w:rFonts w:ascii="仿宋_GB2312" w:hAnsi="仿宋_GB2312" w:cs="仿宋_GB2312" w:eastAsia="仿宋_GB2312"/>
                <w:sz w:val="18"/>
                <w:b/>
              </w:rPr>
              <w:t>二、商务要求</w:t>
            </w:r>
          </w:p>
          <w:p>
            <w:pPr>
              <w:pStyle w:val="null3"/>
            </w:pPr>
            <w:r>
              <w:rPr>
                <w:rFonts w:ascii="仿宋_GB2312" w:hAnsi="仿宋_GB2312" w:cs="仿宋_GB2312" w:eastAsia="仿宋_GB2312"/>
                <w:sz w:val="18"/>
              </w:rPr>
              <w:t>（1）时间:从接到完整的竣工结算资料之日起三十日内提交初审结果</w:t>
            </w:r>
          </w:p>
          <w:p>
            <w:pPr>
              <w:pStyle w:val="null3"/>
            </w:pPr>
            <w:r>
              <w:rPr>
                <w:rFonts w:ascii="仿宋_GB2312" w:hAnsi="仿宋_GB2312" w:cs="仿宋_GB2312" w:eastAsia="仿宋_GB2312"/>
                <w:sz w:val="18"/>
              </w:rPr>
              <w:t>（2）地点:甲方指定地点</w:t>
            </w:r>
          </w:p>
          <w:p>
            <w:pPr>
              <w:pStyle w:val="null3"/>
            </w:pPr>
            <w:r>
              <w:rPr>
                <w:rFonts w:ascii="仿宋_GB2312" w:hAnsi="仿宋_GB2312" w:cs="仿宋_GB2312" w:eastAsia="仿宋_GB2312"/>
                <w:sz w:val="18"/>
              </w:rPr>
              <w:t>（3）质保期:/</w:t>
            </w:r>
          </w:p>
          <w:p>
            <w:pPr>
              <w:pStyle w:val="null3"/>
            </w:pPr>
            <w:r>
              <w:rPr>
                <w:rFonts w:ascii="仿宋_GB2312" w:hAnsi="仿宋_GB2312" w:cs="仿宋_GB2312" w:eastAsia="仿宋_GB2312"/>
                <w:sz w:val="18"/>
              </w:rPr>
              <w:t>（4）履约保证金的缴纳与退还:/</w:t>
            </w:r>
          </w:p>
          <w:p>
            <w:pPr>
              <w:pStyle w:val="null3"/>
            </w:pPr>
            <w:r>
              <w:rPr>
                <w:rFonts w:ascii="仿宋_GB2312" w:hAnsi="仿宋_GB2312" w:cs="仿宋_GB2312" w:eastAsia="仿宋_GB2312"/>
                <w:sz w:val="18"/>
              </w:rPr>
              <w:t>（5）付款方式:提交正式审计报告后的60天内，一次性支付全部审计费。</w:t>
            </w:r>
          </w:p>
          <w:p>
            <w:pPr>
              <w:pStyle w:val="null3"/>
            </w:pPr>
            <w:r>
              <w:rPr>
                <w:rFonts w:ascii="仿宋_GB2312" w:hAnsi="仿宋_GB2312" w:cs="仿宋_GB2312" w:eastAsia="仿宋_GB2312"/>
                <w:sz w:val="18"/>
                <w:b/>
              </w:rPr>
              <w:t>三、质量保证</w:t>
            </w:r>
          </w:p>
          <w:p>
            <w:pPr>
              <w:pStyle w:val="null3"/>
            </w:pPr>
            <w:r>
              <w:rPr>
                <w:rFonts w:ascii="仿宋_GB2312" w:hAnsi="仿宋_GB2312" w:cs="仿宋_GB2312" w:eastAsia="仿宋_GB2312"/>
                <w:sz w:val="18"/>
              </w:rPr>
              <w:t>1.按甲方要求配备足够的项目组人员保证按期完成该项目的结算审核。</w:t>
            </w:r>
          </w:p>
          <w:p>
            <w:pPr>
              <w:pStyle w:val="null3"/>
            </w:pPr>
            <w:r>
              <w:rPr>
                <w:rFonts w:ascii="仿宋_GB2312" w:hAnsi="仿宋_GB2312" w:cs="仿宋_GB2312" w:eastAsia="仿宋_GB2312"/>
                <w:sz w:val="18"/>
              </w:rPr>
              <w:t>2.甲方有权通过复审、聘请独立第三方审查的方式对乙方工程审核过程中的质量进行监督。乙方审计结论出现误差的比例，送审造价在1000万元（含上限，下同）以下的误差不能超过3%；在1000-5000万元的误差不能超过2%；超过5000万元的误差不能超过1%及以上，如超过上述限额比例，甲方有权单方解除本协议，乙方除返还甲方已支付的审计费及违约金外，还需赔偿给甲方造成的一切经济损失，包括但不限于直接损失，间接损失，诉讼仲裁费及甲方聘请律师的费用和其他合理支付等有关费用。</w:t>
            </w:r>
          </w:p>
          <w:p>
            <w:pPr>
              <w:pStyle w:val="null3"/>
            </w:pPr>
            <w:r>
              <w:rPr>
                <w:rFonts w:ascii="仿宋_GB2312" w:hAnsi="仿宋_GB2312" w:cs="仿宋_GB2312" w:eastAsia="仿宋_GB2312"/>
                <w:sz w:val="18"/>
                <w:b/>
              </w:rPr>
              <w:t>四、审计费支付</w:t>
            </w:r>
          </w:p>
          <w:p>
            <w:pPr>
              <w:pStyle w:val="null3"/>
            </w:pPr>
            <w:r>
              <w:rPr>
                <w:rFonts w:ascii="仿宋_GB2312" w:hAnsi="仿宋_GB2312" w:cs="仿宋_GB2312" w:eastAsia="仿宋_GB2312"/>
                <w:sz w:val="18"/>
              </w:rPr>
              <w:t>1.结算审核咨询费由基本审核费与审核成果费两部分组成:基本费取费基数为送审结算价，审减费取费基数为实际审减造价。</w:t>
            </w:r>
          </w:p>
          <w:p>
            <w:pPr>
              <w:pStyle w:val="null3"/>
            </w:pPr>
            <w:r>
              <w:rPr>
                <w:rFonts w:ascii="仿宋_GB2312" w:hAnsi="仿宋_GB2312" w:cs="仿宋_GB2312" w:eastAsia="仿宋_GB2312"/>
                <w:sz w:val="18"/>
              </w:rPr>
              <w:t>2.计费费率:基本收费费率‰，审减成果费率%。</w:t>
            </w:r>
          </w:p>
          <w:p>
            <w:pPr>
              <w:pStyle w:val="null3"/>
            </w:pPr>
            <w:r>
              <w:rPr>
                <w:rFonts w:ascii="仿宋_GB2312" w:hAnsi="仿宋_GB2312" w:cs="仿宋_GB2312" w:eastAsia="仿宋_GB2312"/>
                <w:sz w:val="18"/>
              </w:rPr>
              <w:t>3.合同总价=Σ计费基数×计费费率。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从接到完整的竣工结算资料之日起三十日内提交初审结果。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提交正式审计报告后 ，达到付款条件起60个工作日内，支付合同总金额的100.0%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 （2）供应商报价形式应为下浮率，例下浮率为10%，在系统报价填写10。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其他格式.docx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拟派项目负责人须具备一级注册造价工程师执业资格，且在本单位注册。</w:t>
            </w:r>
          </w:p>
        </w:tc>
        <w:tc>
          <w:tcPr>
            <w:tcW w:type="dxa" w:w="1661"/>
          </w:tcPr>
          <w:p>
            <w:pPr>
              <w:pStyle w:val="null3"/>
            </w:pPr>
            <w:r>
              <w:rPr>
                <w:rFonts w:ascii="仿宋_GB2312" w:hAnsi="仿宋_GB2312" w:cs="仿宋_GB2312" w:eastAsia="仿宋_GB2312"/>
              </w:rPr>
              <w:t>其他格式.docx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注:财务审计报告必须经注册会计师行业统一监管平台备案赋码。</w:t>
            </w:r>
          </w:p>
        </w:tc>
        <w:tc>
          <w:tcPr>
            <w:tcW w:type="dxa" w:w="1661"/>
          </w:tcPr>
          <w:p>
            <w:pPr>
              <w:pStyle w:val="null3"/>
            </w:pPr>
            <w:r>
              <w:rPr>
                <w:rFonts w:ascii="仿宋_GB2312" w:hAnsi="仿宋_GB2312" w:cs="仿宋_GB2312" w:eastAsia="仿宋_GB2312"/>
              </w:rPr>
              <w:t>其他格式.docx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提供磋商响应文件递交截止时间前六个月内至少三个月已缴纳的纳税凭据或完税证明;依法免税的供应商应提供相关文件证明。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其他格式.docx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提供磋商响应文件截止时间前一年内已缴存的至少六个月 的社会保障资金缴存单据或社保机构开具的社会保险参保缴费情况证明，依法不需要缴纳社会保障资金的单位应提供相关证明材料。(社保证明至少包含基本养老保险、工伤保险、失业保险、基本医疗保险 )</w:t>
            </w:r>
          </w:p>
        </w:tc>
        <w:tc>
          <w:tcPr>
            <w:tcW w:type="dxa" w:w="1661"/>
          </w:tcPr>
          <w:p>
            <w:pPr>
              <w:pStyle w:val="null3"/>
            </w:pPr>
            <w:r>
              <w:rPr>
                <w:rFonts w:ascii="仿宋_GB2312" w:hAnsi="仿宋_GB2312" w:cs="仿宋_GB2312" w:eastAsia="仿宋_GB2312"/>
              </w:rPr>
              <w:t>其他格式.docx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提供三年内在经营活动中没有重大违法记录的书面声明。</w:t>
            </w:r>
          </w:p>
        </w:tc>
        <w:tc>
          <w:tcPr>
            <w:tcW w:type="dxa" w:w="1661"/>
          </w:tcPr>
          <w:p>
            <w:pPr>
              <w:pStyle w:val="null3"/>
            </w:pPr>
            <w:r>
              <w:rPr>
                <w:rFonts w:ascii="仿宋_GB2312" w:hAnsi="仿宋_GB2312" w:cs="仿宋_GB2312" w:eastAsia="仿宋_GB2312"/>
              </w:rPr>
              <w:t>其他格式.docx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l.gov.cn)中列入失信被执行人和重大税收违法案件当事人名单的供应商。不处于“中国政府采购网”记录的“政府采购严重违法失信行为记录名单”中的禁止参加政府采购活动期间。（无须提供，以采购人或采购代理机构磋商当日查询结果为准）</w:t>
            </w:r>
          </w:p>
        </w:tc>
        <w:tc>
          <w:tcPr>
            <w:tcW w:type="dxa" w:w="1661"/>
          </w:tcPr>
          <w:p>
            <w:pPr>
              <w:pStyle w:val="null3"/>
            </w:pPr>
            <w:r>
              <w:rPr>
                <w:rFonts w:ascii="仿宋_GB2312" w:hAnsi="仿宋_GB2312" w:cs="仿宋_GB2312" w:eastAsia="仿宋_GB2312"/>
              </w:rPr>
              <w:t>其他格式.docx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本项目不接受与招标采购人合作过程中存在重大违法或不良履约记录的单位响应。(提供承诺书)</w:t>
            </w:r>
          </w:p>
        </w:tc>
        <w:tc>
          <w:tcPr>
            <w:tcW w:type="dxa" w:w="1661"/>
          </w:tcPr>
          <w:p>
            <w:pPr>
              <w:pStyle w:val="null3"/>
            </w:pPr>
            <w:r>
              <w:rPr>
                <w:rFonts w:ascii="仿宋_GB2312" w:hAnsi="仿宋_GB2312" w:cs="仿宋_GB2312" w:eastAsia="仿宋_GB2312"/>
              </w:rPr>
              <w:t>其他格式.docx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具有履行本合同所必需的设备和专业技术能力：提供具有履行本合同所必需的设备和专业技术能力的书面声明。</w:t>
            </w:r>
          </w:p>
        </w:tc>
        <w:tc>
          <w:tcPr>
            <w:tcW w:type="dxa" w:w="1661"/>
          </w:tcPr>
          <w:p>
            <w:pPr>
              <w:pStyle w:val="null3"/>
            </w:pPr>
            <w:r>
              <w:rPr>
                <w:rFonts w:ascii="仿宋_GB2312" w:hAnsi="仿宋_GB2312" w:cs="仿宋_GB2312" w:eastAsia="仿宋_GB2312"/>
              </w:rPr>
              <w:t>其他格式.docx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其他格式.docx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响应文件中的项目名称、项目编号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响应文件封面 其他格式.docx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响应文件封面 其他格式.docx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其他格式.docx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自提交响应文件的截止之日起不少于90个日历日。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合同主要条款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响应文件封面 其他格式.docx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响应文件封面 其他格式.docx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至今（时间以合同签订时间为准）具有工程造价金额一亿以上类似项目业绩，每提供一份得4分，最多得20分。提供合同或协议，同时提供合同款收款银行凭证，未实施完成项目可提供部分合同款收款银行凭证。</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1.项目负责人持证执业年限高于5年（含5年）得5分；持证执业年限为3年（含）～5年得3分；其余不得分。 2.项目负责人具有高级职称或以上者，得6分；具有中级职称者，得3分；其余不得分。 注：需提供项目负责人相关证明材料，项目负责人必须在本单位注册，提供社保缴纳证明材料，须提供磋商响应文件截止时间前一年内至少六个月的社保(须同时提供至少包含基本养老保险、工伤保险、失业保险、基本医疗保险)、人员资质证明、劳动合同，未提供此项均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其他人员要求</w:t>
            </w:r>
          </w:p>
        </w:tc>
        <w:tc>
          <w:tcPr>
            <w:tcW w:type="dxa" w:w="2492"/>
          </w:tcPr>
          <w:p>
            <w:pPr>
              <w:pStyle w:val="null3"/>
            </w:pPr>
            <w:r>
              <w:rPr>
                <w:rFonts w:ascii="仿宋_GB2312" w:hAnsi="仿宋_GB2312" w:cs="仿宋_GB2312" w:eastAsia="仿宋_GB2312"/>
              </w:rPr>
              <w:t>拟派本项目人员中审计工作团队人员结构合理，项目负责人必须为一级注册造价工程师，另外至少配备一级注册造价工程师四名(土建专业、安装专业各两名)。 在此基础上，每增加1名一级注册造价工程师，得3分，最多得9分。 注：须提供磋商响应文件截止时间前一年内至少六个月的社保(须同时提供至少包含基本养老保险、工伤保险、失业保险、基本医疗保险)、人员资质证明、劳动合同，未提供此项均不得分。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内容包括但不限于：①相关法律、法规依据；②服务目标；③服务宗旨、内容及原则；④结算审计方案（包含结算审核方法、结算审核内容、结算审核工作步骤等）；⑤对结算审计阶段进行廉政风险分析，并提出廉政风险及廉政风险防范措施；⑥服务质量控制措施。以上内容专门针对本项目且符合本项目实际需求的得18分，每缺一项内容扣3分，若上述内容存在瑕疵，每出现一处瑕疵扣1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进度响应安排</w:t>
            </w:r>
          </w:p>
        </w:tc>
        <w:tc>
          <w:tcPr>
            <w:tcW w:type="dxa" w:w="2492"/>
          </w:tcPr>
          <w:p>
            <w:pPr>
              <w:pStyle w:val="null3"/>
            </w:pPr>
            <w:r>
              <w:rPr>
                <w:rFonts w:ascii="仿宋_GB2312" w:hAnsi="仿宋_GB2312" w:cs="仿宋_GB2312" w:eastAsia="仿宋_GB2312"/>
              </w:rPr>
              <w:t>内容包括但不限于①工作进度安排；②服务期间问题反馈机制及时效；③工程结算审核时效控制方案。 以上内容专门针对本项目且符合本项目实际需求的得12分，每缺一项内容扣4分，若上述内容存在瑕疵，每出现一处瑕疵扣1分，扣完为止。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资料管理及保密廉洁措施</w:t>
            </w:r>
          </w:p>
        </w:tc>
        <w:tc>
          <w:tcPr>
            <w:tcW w:type="dxa" w:w="2492"/>
          </w:tcPr>
          <w:p>
            <w:pPr>
              <w:pStyle w:val="null3"/>
            </w:pPr>
            <w:r>
              <w:rPr>
                <w:rFonts w:ascii="仿宋_GB2312" w:hAnsi="仿宋_GB2312" w:cs="仿宋_GB2312" w:eastAsia="仿宋_GB2312"/>
              </w:rPr>
              <w:t>内容包括但不限于①存档资料的内容；②存档资料的要求等；③成果文件资料信息的保密措施；④项目保密范围及制度；⑤廉洁从业措施。 以上内容专门针对本项目且符合本项目实际需求的得10分，每缺一项内容扣2分，若上述内容存在瑕疵，每出现一处瑕疵扣1分，扣完为止。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价格分采用低价优先法计算，即满足磋商文件要求最终且投标价格最低（本项目为报价下浮率最高）的投标报价（基准下浮率）为评标基准价，其价格分为满分，共计20分。 其他供应商的价格分统一按照下列公式计算： 磋商报价得分=（（1-基准下浮率）/（1-投标下浮率））×20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