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7A3F5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3B33D3DE">
      <w:pPr>
        <w:widowControl/>
        <w:jc w:val="left"/>
        <w:rPr>
          <w:rFonts w:ascii="宋体" w:hAnsi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</w:rPr>
        <w:t>编号：</w:t>
      </w:r>
      <w:r>
        <w:rPr>
          <w:rFonts w:ascii="宋体" w:hAnsi="宋体" w:cs="宋体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highlight w:val="none"/>
        </w:rPr>
        <w:t>SZY20261390078-1</w:t>
      </w:r>
    </w:p>
    <w:p w14:paraId="196A2786">
      <w:pPr>
        <w:widowControl/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14:paraId="3F9D7BB8">
      <w:pPr>
        <w:widowControl/>
        <w:ind w:firstLine="880"/>
        <w:jc w:val="center"/>
        <w:rPr>
          <w:rFonts w:hint="eastAsia" w:ascii="黑体" w:hAnsi="黑体" w:eastAsia="黑体" w:cs="宋体"/>
          <w:bCs/>
          <w:kern w:val="0"/>
          <w:sz w:val="44"/>
          <w:szCs w:val="44"/>
        </w:rPr>
      </w:pPr>
    </w:p>
    <w:p w14:paraId="110933F5">
      <w:pPr>
        <w:widowControl/>
        <w:ind w:firstLine="880"/>
        <w:jc w:val="center"/>
        <w:rPr>
          <w:rFonts w:hint="eastAsia" w:ascii="黑体" w:hAnsi="黑体" w:eastAsia="黑体" w:cs="宋体"/>
          <w:bCs/>
          <w:kern w:val="0"/>
          <w:sz w:val="44"/>
          <w:szCs w:val="44"/>
        </w:rPr>
      </w:pPr>
    </w:p>
    <w:p w14:paraId="1CF5A636">
      <w:pPr>
        <w:widowControl/>
        <w:jc w:val="both"/>
        <w:rPr>
          <w:rFonts w:hint="eastAsia" w:ascii="黑体" w:hAnsi="黑体" w:eastAsia="黑体" w:cs="宋体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Cs/>
          <w:kern w:val="0"/>
          <w:sz w:val="44"/>
          <w:szCs w:val="44"/>
          <w:lang w:eastAsia="zh-CN"/>
        </w:rPr>
        <w:t>2026年南北校区绿化养护服务项目</w:t>
      </w:r>
      <w:r>
        <w:rPr>
          <w:rFonts w:hint="eastAsia" w:ascii="黑体" w:hAnsi="黑体" w:eastAsia="黑体" w:cs="宋体"/>
          <w:bCs/>
          <w:kern w:val="0"/>
          <w:sz w:val="44"/>
          <w:szCs w:val="44"/>
        </w:rPr>
        <w:t>合同</w:t>
      </w:r>
    </w:p>
    <w:p w14:paraId="14D7F267">
      <w:pPr>
        <w:widowControl/>
        <w:ind w:firstLine="880"/>
        <w:jc w:val="center"/>
        <w:rPr>
          <w:rFonts w:hint="eastAsia" w:ascii="宋体" w:hAnsi="宋体" w:eastAsia="宋体" w:cs="宋体"/>
          <w:kern w:val="0"/>
          <w:sz w:val="44"/>
          <w:szCs w:val="44"/>
        </w:rPr>
      </w:pPr>
    </w:p>
    <w:p w14:paraId="39BFBC39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0D76A235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55BA69E0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43D58197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7F9F2881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4328057B">
      <w:pPr>
        <w:widowControl/>
        <w:ind w:firstLine="960" w:firstLineChars="300"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72EE40F9">
      <w:pPr>
        <w:widowControl/>
        <w:jc w:val="left"/>
        <w:rPr>
          <w:rFonts w:hint="eastAsia" w:ascii="宋体" w:hAnsi="宋体" w:eastAsia="宋体" w:cs="宋体"/>
          <w:kern w:val="0"/>
          <w:sz w:val="32"/>
          <w:szCs w:val="32"/>
        </w:rPr>
      </w:pPr>
    </w:p>
    <w:p w14:paraId="098DCF69">
      <w:pPr>
        <w:widowControl/>
        <w:ind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甲方：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eastAsia="zh-CN"/>
        </w:rPr>
        <w:t>陕西中医药大学</w:t>
      </w:r>
      <w:r>
        <w:rPr>
          <w:rFonts w:hint="eastAsia" w:ascii="宋体" w:hAnsi="宋体" w:cs="宋体"/>
          <w:kern w:val="0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</w:rPr>
        <w:t>    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</w:rPr>
        <w:t xml:space="preserve"> </w:t>
      </w:r>
    </w:p>
    <w:p w14:paraId="597F29F6">
      <w:pPr>
        <w:widowControl/>
        <w:ind w:firstLine="640" w:firstLineChars="20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乙方：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</w:rPr>
        <w:t>        </w:t>
      </w:r>
      <w:r>
        <w:rPr>
          <w:rFonts w:ascii="宋体" w:hAnsi="宋体" w:eastAsia="宋体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</w:rPr>
        <w:t>       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</w:rPr>
        <w:t> </w:t>
      </w:r>
      <w:r>
        <w:rPr>
          <w:rFonts w:hint="eastAsia" w:ascii="宋体" w:hAnsi="宋体" w:cs="宋体"/>
          <w:kern w:val="0"/>
          <w:sz w:val="32"/>
          <w:szCs w:val="32"/>
          <w:u w:val="single"/>
          <w:lang w:val="en-US" w:eastAsia="zh-CN"/>
        </w:rPr>
        <w:t xml:space="preserve">     </w:t>
      </w:r>
    </w:p>
    <w:p w14:paraId="53155583">
      <w:pPr>
        <w:widowControl/>
        <w:ind w:firstLine="560"/>
        <w:jc w:val="center"/>
        <w:rPr>
          <w:rFonts w:ascii="宋体" w:hAnsi="宋体" w:eastAsia="宋体" w:cs="宋体"/>
          <w:kern w:val="0"/>
          <w:sz w:val="28"/>
          <w:szCs w:val="28"/>
        </w:rPr>
      </w:pPr>
    </w:p>
    <w:p w14:paraId="27AE38D5">
      <w:pPr>
        <w:widowControl/>
        <w:ind w:firstLine="560"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签订时间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年   月   日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 xml:space="preserve"> </w:t>
      </w:r>
    </w:p>
    <w:p w14:paraId="3F355A66">
      <w:pPr>
        <w:rPr>
          <w:rStyle w:val="10"/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Style w:val="10"/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br w:type="page"/>
      </w:r>
    </w:p>
    <w:p w14:paraId="52C0259F">
      <w:pPr>
        <w:widowControl/>
        <w:jc w:val="both"/>
        <w:rPr>
          <w:rFonts w:hint="eastAsia" w:ascii="黑体" w:hAnsi="黑体" w:eastAsia="黑体" w:cs="宋体"/>
          <w:bCs/>
          <w:kern w:val="0"/>
          <w:sz w:val="44"/>
          <w:szCs w:val="44"/>
        </w:rPr>
      </w:pPr>
      <w:r>
        <w:rPr>
          <w:rFonts w:hint="eastAsia" w:ascii="黑体" w:hAnsi="黑体" w:eastAsia="黑体" w:cs="宋体"/>
          <w:bCs/>
          <w:kern w:val="0"/>
          <w:sz w:val="44"/>
          <w:szCs w:val="44"/>
          <w:lang w:eastAsia="zh-CN"/>
        </w:rPr>
        <w:t>2026年南北校区绿化养护服务项目</w:t>
      </w:r>
      <w:r>
        <w:rPr>
          <w:rFonts w:hint="eastAsia" w:ascii="黑体" w:hAnsi="黑体" w:eastAsia="黑体" w:cs="宋体"/>
          <w:bCs/>
          <w:kern w:val="0"/>
          <w:sz w:val="44"/>
          <w:szCs w:val="44"/>
        </w:rPr>
        <w:t>合同</w:t>
      </w:r>
    </w:p>
    <w:p w14:paraId="080C58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</w:rPr>
      </w:pPr>
      <w:bookmarkStart w:id="0" w:name="_Toc19515384"/>
    </w:p>
    <w:p w14:paraId="17CD72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甲方：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eastAsia="zh-CN"/>
        </w:rPr>
        <w:t>陕西中医药大学</w:t>
      </w:r>
      <w:r>
        <w:rPr>
          <w:rFonts w:hint="eastAsia" w:ascii="宋体" w:hAnsi="宋体" w:cs="宋体"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val="en-US" w:eastAsia="zh-CN"/>
        </w:rPr>
        <w:t xml:space="preserve">                          </w:t>
      </w:r>
    </w:p>
    <w:p w14:paraId="7C061F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乙</w:t>
      </w:r>
      <w:r>
        <w:rPr>
          <w:rFonts w:hint="eastAsia" w:ascii="宋体" w:hAnsi="宋体" w:eastAsia="宋体" w:cs="宋体"/>
          <w:kern w:val="0"/>
          <w:sz w:val="32"/>
          <w:szCs w:val="32"/>
        </w:rPr>
        <w:t>方：</w:t>
      </w:r>
      <w:r>
        <w:rPr>
          <w:rFonts w:hint="eastAsia" w:ascii="宋体" w:hAnsi="宋体" w:eastAsia="宋体" w:cs="宋体"/>
          <w:kern w:val="0"/>
          <w:sz w:val="32"/>
          <w:szCs w:val="32"/>
          <w:u w:val="single"/>
          <w:lang w:val="en-US" w:eastAsia="zh-CN"/>
        </w:rPr>
        <w:t xml:space="preserve">                                  </w:t>
      </w:r>
    </w:p>
    <w:bookmarkEnd w:id="0"/>
    <w:p w14:paraId="6EE1917C">
      <w:pPr>
        <w:pStyle w:val="1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根据《中华人民共和国政府采购法》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及其实施条例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《中华人民共和国民法典》及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陕西万德招标有限公司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项目（项目编号：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）的《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》、乙方的《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》及《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通知书》，甲、乙双方同意签订本合同。详细技术说明及其他有关合同项目的特定信息由合同附件予以说明，合同附件及本项目的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竞争性磋商响应文件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、《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成交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通知书》等均为本合同不可分割的部分。</w:t>
      </w:r>
    </w:p>
    <w:p w14:paraId="104B136F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第一章 合同内容</w:t>
      </w:r>
    </w:p>
    <w:p w14:paraId="540F7E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第一条 服务范围：</w:t>
      </w:r>
    </w:p>
    <w:p w14:paraId="012031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第二条 服务内容和标准：</w:t>
      </w:r>
    </w:p>
    <w:p w14:paraId="5E45469D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bookmarkStart w:id="1" w:name="_Toc19515385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第二章 合同价款</w:t>
      </w:r>
      <w:bookmarkEnd w:id="1"/>
    </w:p>
    <w:p w14:paraId="07675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第一条 合同总价：人民币大写：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元/年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（¥：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元/年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</w:t>
      </w:r>
    </w:p>
    <w:p w14:paraId="70FDF9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第二条 本项目合同总价为固定总价，服务期内不受人工、机具、耗材、清运等任何市场价格波动等因素影响。</w:t>
      </w:r>
    </w:p>
    <w:p w14:paraId="5CEAC862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bookmarkStart w:id="2" w:name="_Toc19515386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第三章 合同结算</w:t>
      </w:r>
      <w:bookmarkEnd w:id="2"/>
    </w:p>
    <w:p w14:paraId="437556A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bookmarkStart w:id="3" w:name="_Toc19515387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第一条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付款比例：绿化服务费每2月支付一次，乙方须提前向甲方提供等额正规增值税发票，甲方根据考核情况于收到发票后1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个工作日内支付前2个月绿化服务费用。每2个月实际支付的绿化服务费=合同价款÷6，每月考核扣款最终在对应周期服务费中扣除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7FF2EFE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第二条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结算方式：银行转账。</w:t>
      </w:r>
    </w:p>
    <w:p w14:paraId="658DC1B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第三条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结算单位：由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负责结算，乙方开具全额发票交采购人。</w:t>
      </w:r>
    </w:p>
    <w:p w14:paraId="4586BEB1">
      <w:pPr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第四条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支付约定：月度考核同步核查新增绿地养护现状，新增绿地存在大面积杂草、枯死、设施损坏的，同等执行月度服务费扣款规定。</w:t>
      </w:r>
    </w:p>
    <w:p w14:paraId="5CAB795A">
      <w:pPr>
        <w:numPr>
          <w:ilvl w:val="0"/>
          <w:numId w:val="0"/>
        </w:num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第四章 履行期限、地点</w:t>
      </w:r>
      <w:bookmarkEnd w:id="3"/>
    </w:p>
    <w:p w14:paraId="2FBD8F91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第一条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服务周期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2026年8月11日至2027年8月10日。采用1+1+1续签模式。初始合同期满后，采购人有权根据管理需要、成交供应商履约情况自主决定是否续签，无需向成交供应商说明理由；考核合格后可续签，最多续签2次，每次续签期限1年。考核不合格或乙方存在严重违约行为，采购人有权拒绝续签。</w:t>
      </w:r>
    </w:p>
    <w:p w14:paraId="41D71D0E">
      <w:pPr>
        <w:pStyle w:val="11"/>
        <w:ind w:firstLine="560" w:firstLineChars="200"/>
        <w:outlineLvl w:val="3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第二条 服务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地点：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陕西中医药大学南校区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含教师公寓小区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、北校区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含教师公寓区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  <w:t>全域绿化区域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p w14:paraId="48E3B83A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第五章 履约保证金</w:t>
      </w:r>
    </w:p>
    <w:p w14:paraId="7C003FC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第一条 成交供应商须向采购人缴纳履约保证金大写：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（¥：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）。</w:t>
      </w:r>
    </w:p>
    <w:p w14:paraId="19B783E3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第二条 成交供应商应于政府采购合同签订前向采购人缴纳履约保证金。合同期满（合同存在续签的，以最后一期合同履行完毕且验收合格之日为准），供应商无本合同项下违约行为、无采购人针对本项目的未了结违约索赔的，履约保证金无息全额退还；供应商自身劳资纠纷不构成本履约保证金不予退还的理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0B8567C8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第三条 缴纳方式：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p w14:paraId="393B8BE8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bookmarkStart w:id="4" w:name="_Toc19515391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第六章 验收</w:t>
      </w:r>
      <w:bookmarkEnd w:id="4"/>
    </w:p>
    <w:p w14:paraId="3EA1CD1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第一条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验收：</w:t>
      </w:r>
    </w:p>
    <w:p w14:paraId="48B812B8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第二条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最终验收：</w:t>
      </w:r>
    </w:p>
    <w:p w14:paraId="39D68A5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第三条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验收依据：</w:t>
      </w:r>
    </w:p>
    <w:p w14:paraId="169A589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合同文本、合同附件、竞争性磋商文件、成交供应商的响应文件。</w:t>
      </w:r>
    </w:p>
    <w:p w14:paraId="1F49A1C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国内相应的标准、规范。</w:t>
      </w:r>
    </w:p>
    <w:p w14:paraId="1EAB7F2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（三）其他适用的依据。</w:t>
      </w:r>
    </w:p>
    <w:p w14:paraId="6F887B1A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bookmarkStart w:id="5" w:name="_Toc19515392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第七章 双方的权利及义务</w:t>
      </w:r>
    </w:p>
    <w:p w14:paraId="57195B5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第一条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双方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的权利义务</w:t>
      </w:r>
    </w:p>
    <w:p w14:paraId="33C7CEB9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甲方权利和义务</w:t>
      </w:r>
    </w:p>
    <w:p w14:paraId="572F3E28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按照合同约定按时足额结算服务费用。</w:t>
      </w:r>
    </w:p>
    <w:p w14:paraId="4137A724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无偿为乙方提供办公场地，养护作业所用的水、电费用由甲方承担。乙方操作不当造成甲方设施设备损坏的，维修、更换费用由乙方承担。</w:t>
      </w:r>
    </w:p>
    <w:p w14:paraId="56BE8C3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遭遇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不可抗力无法正常作业时，双方积极协调处置，乙方不得无故停止养护工作。</w:t>
      </w:r>
    </w:p>
    <w:p w14:paraId="5DFAD98D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审定乙方制定的各项管理制度、养护方案，对乙方工作开展日常检查、监督、考核，并下达工作要求。</w:t>
      </w:r>
    </w:p>
    <w:p w14:paraId="72D2215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有权要求乙方调换不合格、不适应岗位的工作人员。</w:t>
      </w:r>
    </w:p>
    <w:p w14:paraId="4C64004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对乙方违规作业、服务不达标的行为，有权要求限期返工、整改，并按考核规则予以扣款。</w:t>
      </w:r>
    </w:p>
    <w:p w14:paraId="1A4B083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乙方的权利义务</w:t>
      </w:r>
    </w:p>
    <w:p w14:paraId="74FA297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严格按照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文件、合同、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文件约定的服务标准、管理制度开展养护作业，全面履行各项服务承诺。</w:t>
      </w:r>
    </w:p>
    <w:p w14:paraId="447BC533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保证现场养护人员足额在岗，不得擅自缺员、混岗、替岗、购买保险。</w:t>
      </w:r>
    </w:p>
    <w:p w14:paraId="4B840AA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对新入职员工开展岗前培训、安全培训、制度培训，工作人员违反校规及作业规范的，乙方按要求予以处罚、辞退，并配合甲方管理。</w:t>
      </w:r>
    </w:p>
    <w:p w14:paraId="74B3313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项目经理每周至少与甲方对接沟通一次，现场突发问题第一时间上报、处置，不得拖延。</w:t>
      </w:r>
    </w:p>
    <w:p w14:paraId="08F453F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积极配合甲方的监督、检查、考核工作，不得推诿、敷衍、抵制管理。</w:t>
      </w:r>
    </w:p>
    <w:p w14:paraId="5E01CEE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遵守甲方各项规章制度，接受统一管理与考核。</w:t>
      </w:r>
    </w:p>
    <w:p w14:paraId="179D3FC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作业过程中发现校园建筑、设施、苗木大面积损毁等问题，第一时间向甲方报备。</w:t>
      </w:r>
    </w:p>
    <w:p w14:paraId="052B82F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薪酬按时发放、社保合规缴纳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乙方人员在服务区域内因自身原因引发人身伤亡、劳务纠纷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、财产损失的，全部责任与经济赔偿由乙方承担，与甲方无关。若因劳务争议导致甲方被追责、索赔，所有损失（含诉讼费、律师费、差旅费等）均由乙方承担。</w:t>
      </w:r>
    </w:p>
    <w:p w14:paraId="0C8C4D57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第八章 违约责任</w:t>
      </w:r>
      <w:bookmarkEnd w:id="5"/>
    </w:p>
    <w:p w14:paraId="617DDCA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bookmarkStart w:id="6" w:name="_Toc19515393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出现下列情形之一，甲方有权单方解除本合同，且不承担任何经济责任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：</w:t>
      </w:r>
    </w:p>
    <w:p w14:paraId="4860B76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第一条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因乙方原因给甲方造成重大经济损失、恶劣社会影响的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2242C4D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乙方作业人员出现主观原因怠工、停工时长达到2小时(含)以上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08C9F3D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工作人员拒不服从管理、违规作业造成不良影响，限期整改后仍不纠正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689461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服务质量长期不达标，甲方下达整改通知后，逾期未整改或整改验收不合格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0C1BEEB4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私自转让、转包本项目服务。</w:t>
      </w:r>
    </w:p>
    <w:p w14:paraId="56D298CD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甲方依据上述条款解除合同的，乙方须按照合同总价款的20%向甲方支付违约金，并赔偿甲方全部经济损失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同时甲方有权拒付、追回已支付的服务费用。</w:t>
      </w:r>
    </w:p>
    <w:p w14:paraId="7FE7D1F4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第九章 合同解除</w:t>
      </w:r>
    </w:p>
    <w:p w14:paraId="68C5F2B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出现下列任意一项，甲方有权责令整改、向上级主管部门报备并单方解除合同，同时要求中标人赔偿全部损失、承(担相应法律责任：</w:t>
      </w:r>
    </w:p>
    <w:p w14:paraId="306FEAE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第一条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月度考核连续不合格，拒不整改或整改后仍不达标的，严重影响校园绿化景观及服务质量；</w:t>
      </w:r>
    </w:p>
    <w:p w14:paraId="2BC06A4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因乙方管理、作业不当引发重大安全事故、火灾、人员伤亡，或事故发生后隐瞒不报；</w:t>
      </w:r>
    </w:p>
    <w:p w14:paraId="37C56C5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未经甲方书面同意，将本项目整体或部分养护服务转包、分包给第三方；</w:t>
      </w:r>
    </w:p>
    <w:p w14:paraId="7560AED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现场人员出现怠工、停工2小时及以上，工作人员拒不服从甲方管理且拒不纠正；</w:t>
      </w:r>
    </w:p>
    <w:p w14:paraId="49BF535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存在其他违反法律法规、校规校纪，造成恶劣社会影响的行为；</w:t>
      </w:r>
    </w:p>
    <w:p w14:paraId="6D1A51C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未按合同及竞争性磋商文件要求提供服务，经多次督促仍无法满足服务标准。</w:t>
      </w:r>
    </w:p>
    <w:p w14:paraId="548BCC5E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第十章 争议解决</w:t>
      </w:r>
    </w:p>
    <w:p w14:paraId="7649BE0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合同履行期间产生纠纷，由甲乙双方友好协商解决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协商不成，提交甲方所在地人民法院提起诉讼。</w:t>
      </w:r>
    </w:p>
    <w:p w14:paraId="365869DB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第十一章 合同组成</w:t>
      </w:r>
      <w:bookmarkEnd w:id="6"/>
    </w:p>
    <w:p w14:paraId="425E206D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合同文件</w:t>
      </w:r>
    </w:p>
    <w:p w14:paraId="17D46EA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成交通知书</w:t>
      </w:r>
    </w:p>
    <w:p w14:paraId="6FBBC3E2">
      <w:pPr>
        <w:tabs>
          <w:tab w:val="left" w:pos="5597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国家相关规范及标准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ab/>
      </w:r>
    </w:p>
    <w:p w14:paraId="6E0577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（四）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成交供应商的响应文件</w:t>
      </w:r>
    </w:p>
    <w:p w14:paraId="50581DA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（五）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竞争性磋商文件</w:t>
      </w:r>
    </w:p>
    <w:p w14:paraId="51A9399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（六）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校区绿化综合考核表</w:t>
      </w:r>
    </w:p>
    <w:p w14:paraId="0C1271D7">
      <w:pPr>
        <w:adjustRightInd w:val="0"/>
        <w:snapToGrid w:val="0"/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</w:pPr>
      <w:bookmarkStart w:id="7" w:name="_Toc19515395"/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lang w:val="en-US" w:eastAsia="zh-CN"/>
        </w:rPr>
        <w:t>第十二章 合同生效及其他</w:t>
      </w:r>
      <w:bookmarkEnd w:id="7"/>
    </w:p>
    <w:p w14:paraId="362789B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生效时间：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。</w:t>
      </w:r>
    </w:p>
    <w:p w14:paraId="5AC037AD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本合同正本一式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份，甲方、乙方双方分别执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份，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备案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份。</w:t>
      </w:r>
    </w:p>
    <w:p w14:paraId="2ACAF5E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条</w:t>
      </w:r>
      <w:r>
        <w:rPr>
          <w:rFonts w:hint="eastAsia" w:ascii="仿宋_GB2312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本合同未尽事宜，由双方另行协商补充，补充协议与本合同具有同等法律效力。</w:t>
      </w:r>
    </w:p>
    <w:p w14:paraId="3D8ADE43">
      <w:pPr>
        <w:adjustRightInd w:val="0"/>
        <w:snapToGrid w:val="0"/>
        <w:spacing w:line="360" w:lineRule="auto"/>
        <w:rPr>
          <w:rFonts w:hint="eastAsia" w:ascii="宋体" w:hAnsi="宋体" w:eastAsia="仿宋_GB2312" w:cs="宋体"/>
          <w:kern w:val="0"/>
          <w:sz w:val="28"/>
          <w:szCs w:val="28"/>
        </w:rPr>
      </w:pPr>
    </w:p>
    <w:p w14:paraId="53CE6FB9">
      <w:pPr>
        <w:adjustRightInd w:val="0"/>
        <w:snapToGrid w:val="0"/>
        <w:spacing w:line="360" w:lineRule="auto"/>
        <w:rPr>
          <w:rFonts w:hint="eastAsia" w:ascii="宋体" w:hAnsi="宋体" w:eastAsia="仿宋_GB2312" w:cs="宋体"/>
          <w:kern w:val="0"/>
          <w:sz w:val="28"/>
          <w:szCs w:val="28"/>
        </w:rPr>
      </w:pPr>
    </w:p>
    <w:p w14:paraId="02326E6D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仿宋_GB2312" w:cs="宋体"/>
          <w:kern w:val="0"/>
          <w:sz w:val="28"/>
          <w:szCs w:val="28"/>
        </w:rPr>
        <w:t xml:space="preserve">（以下无正文，仅签章） </w:t>
      </w:r>
    </w:p>
    <w:p w14:paraId="266FEB25"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甲方：               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乙方： </w:t>
      </w:r>
    </w:p>
    <w:p w14:paraId="3FD9D217"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法定代表人：         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法定代表人： </w:t>
      </w:r>
    </w:p>
    <w:p w14:paraId="4173012F">
      <w:pPr>
        <w:pStyle w:val="11"/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签订日期：           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签订日期：</w:t>
      </w:r>
    </w:p>
    <w:p w14:paraId="48F494D4">
      <w:pPr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br w:type="page"/>
      </w:r>
    </w:p>
    <w:p w14:paraId="5CEBCBE2">
      <w:pPr>
        <w:autoSpaceDN w:val="0"/>
        <w:spacing w:before="156" w:beforeLines="50" w:line="440" w:lineRule="exact"/>
        <w:ind w:firstLine="2530" w:firstLineChars="700"/>
        <w:rPr>
          <w:rFonts w:hint="eastAsia" w:ascii="仿宋" w:hAnsi="仿宋" w:eastAsia="仿宋" w:cs="仿宋"/>
          <w:b/>
          <w:kern w:val="0"/>
          <w:sz w:val="36"/>
          <w:szCs w:val="36"/>
        </w:rPr>
      </w:pPr>
      <w:bookmarkStart w:id="8" w:name="_Hlk131003656"/>
      <w:r>
        <w:rPr>
          <w:rFonts w:hint="eastAsia" w:ascii="仿宋" w:hAnsi="仿宋" w:eastAsia="仿宋" w:cs="仿宋"/>
          <w:b/>
          <w:kern w:val="0"/>
          <w:sz w:val="36"/>
          <w:szCs w:val="36"/>
        </w:rPr>
        <w:t xml:space="preserve">校区绿化综合考核表  </w:t>
      </w:r>
    </w:p>
    <w:p w14:paraId="028E0CCF">
      <w:pPr>
        <w:autoSpaceDN w:val="0"/>
        <w:spacing w:before="156" w:beforeLines="50" w:line="440" w:lineRule="exact"/>
        <w:ind w:firstLine="4320" w:firstLineChars="1800"/>
        <w:jc w:val="right"/>
        <w:rPr>
          <w:rFonts w:hint="eastAsia" w:ascii="仿宋" w:hAnsi="仿宋" w:eastAsia="仿宋" w:cs="仿宋"/>
          <w:b/>
          <w:kern w:val="0"/>
          <w:sz w:val="30"/>
          <w:szCs w:val="30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 xml:space="preserve"> 考核日期：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____年____月____日</w:t>
      </w:r>
    </w:p>
    <w:tbl>
      <w:tblPr>
        <w:tblStyle w:val="7"/>
        <w:tblW w:w="86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5702"/>
        <w:gridCol w:w="1559"/>
      </w:tblGrid>
      <w:tr w14:paraId="7CE7F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C2E3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考核项目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8B16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考核情况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F18B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备注</w:t>
            </w:r>
          </w:p>
        </w:tc>
      </w:tr>
      <w:tr w14:paraId="7E82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3AA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人员到岗情况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4844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5373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考核标准：</w:t>
            </w:r>
          </w:p>
          <w:p w14:paraId="38461BBD">
            <w:pPr>
              <w:spacing w:after="12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南校区不少于17人；北校区不少于2人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</w:tc>
      </w:tr>
      <w:tr w14:paraId="6DC7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CF4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区域绿化养护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9F5FA1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C9480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1FBEC8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37DAA3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0F0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49A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人员绿化专业知识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4B99D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20A7B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A6D68E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3496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B4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投入设备及耗材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456FE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FD86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986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113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农药出入库情况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3CC5F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E772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专人专柜、出入库记录齐全</w:t>
            </w:r>
          </w:p>
        </w:tc>
      </w:tr>
      <w:tr w14:paraId="134F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A421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建议及</w:t>
            </w:r>
          </w:p>
          <w:p w14:paraId="4BCF9D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结论</w:t>
            </w: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769AD">
            <w:pPr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82CD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07CE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DF5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84209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小组签名</w:t>
            </w:r>
          </w:p>
          <w:p w14:paraId="0F2333F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74A0A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671FE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7497D3C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签字：</w:t>
      </w:r>
    </w:p>
    <w:bookmarkEnd w:id="8"/>
    <w:tbl>
      <w:tblPr>
        <w:tblStyle w:val="7"/>
        <w:tblW w:w="5394" w:type="pct"/>
        <w:tblInd w:w="-6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502"/>
        <w:gridCol w:w="2909"/>
        <w:gridCol w:w="964"/>
        <w:gridCol w:w="793"/>
        <w:gridCol w:w="688"/>
        <w:gridCol w:w="1041"/>
      </w:tblGrid>
      <w:tr w14:paraId="53E4B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校区绿化综合考核表</w:t>
            </w:r>
          </w:p>
        </w:tc>
      </w:tr>
      <w:tr w14:paraId="372AB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3B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考核日期：____年____月____日</w:t>
            </w:r>
          </w:p>
        </w:tc>
      </w:tr>
      <w:tr w14:paraId="0875F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5BD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考核大类</w:t>
            </w: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7B9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BF4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考核标准</w:t>
            </w:r>
          </w:p>
        </w:tc>
        <w:tc>
          <w:tcPr>
            <w:tcW w:w="52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00B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524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扣分</w:t>
            </w: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912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201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备注/考核情况</w:t>
            </w:r>
          </w:p>
        </w:tc>
      </w:tr>
      <w:tr w14:paraId="31C92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06" w:type="pct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D6B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投入人员（32分）</w:t>
            </w: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FA1C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管理人员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E9EF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配置管理人员2人，履职到位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D99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5D0C2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449B7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FFC836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581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39467D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1F7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绿化养护人员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945C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南校区不少于17人，北校区不少于2人，人员到岗率达标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298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7E4CD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F40A1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7B8DB7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C54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7D6CB5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3B2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农药专管员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ACAF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配置专职农药管理人员，持证上岗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7E89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1B507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CF599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C1D496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BD1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C6FDD9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1D3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工作巡检与计划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639D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有完整的月度/周工作计划、每日工作巡检日志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0E9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B2176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863A2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999126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062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A3AE85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BEF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人员专业知识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D1B8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绿化人员具备基础的绿化养护专业知识，能正确操作养护工具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16F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3BA91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9D9F6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711F3F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E45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227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区域绿化养护</w:t>
            </w:r>
          </w:p>
          <w:p w14:paraId="3D6B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（60分）</w:t>
            </w: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20A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枯枝残花清理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9767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植物出现枯枝烂叶及残花未及时清理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446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8580A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F8D19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6B20D2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4D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F6EFBB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B81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草坪养护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7583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草坪修剪及时，无漏剪，保持平整、整齐无秃斑、无枯草、杂草，坚持日常清理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A58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755ED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C11BF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57F12B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71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3A2417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8AE9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植物浇水养护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F665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校区植物因浇水不及时或浇水量不足，出现萎蔫、枯死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7C6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31C3A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7B6E3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BDF564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700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41AC70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57A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病虫害防治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1AA6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树木植物病虫害防治及时，无大面积病虫害扩散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DDF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9BA13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EB22F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3C9BD4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AD8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4A44BF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031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绿地杂物清理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3660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公共绿地上、绿篱内杂物未及时清理干净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AA7D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311E3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D04015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C7D96C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D0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54AB48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3306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枝干修剪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CF36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树木萌新、下垂枝干及时清理，无影响通行、景观的枝条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275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DAC2A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FC1CF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D45D29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73C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FC7DA1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7E3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草花养护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F069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草花生长健壮、花繁叶茂、无残花败叶，花坛整洁美观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529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A1B0F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850E6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8EAF41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E7D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71AE74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E90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叶片健康状况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1BBC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植物叶片叶色正常、叶大而肥厚，无明显虫网、被虫咬食叶片数量每株在5%以下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FA8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94FE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FB640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D22E4B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551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296C48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98BB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树干养护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E04F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枝干树干挺直、树干基部无蘖芽滋生、无明显枯枝、死桩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94B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FE04B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EA0DB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763509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C1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868A48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D5E3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绿篱造型养护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29D0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绿篱、造型灌木形状轮廓清晰，表面平整、圆滑、不露空缺、不露枝干，每年至少修剪8-10次以上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65E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9A9E1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2E36C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E54962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E4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6BF232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C37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藤本植物养护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EDC4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藤本长藤分布合理、枝叶覆盖均匀、附着牢固、无枯萎等现象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3C6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7559E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4FE3B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8CCC63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E79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925D39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35F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绿化垃圾处理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919A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绿化垃圾做到日产日清，绿地内无废弃物、白色垃圾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4051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BB6D1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8C8BB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203E23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155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2C202F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7B0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园林设施维护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8E0C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栏杆、桌椅、井盖和牌饰等园林设施基本完整，及时维护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1D1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EB4CE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CEF5E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BFAAA3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55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A56542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160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水肥管理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DA2D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加强施肥浇水排涝工作，每月至少2次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446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65FA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E2FBC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BFD23C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EF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EEED98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9DC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整改响应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D75C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甲方提出意见是否及时响应整改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9D9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A4BAA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9D692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C2E787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C90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083DAC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024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极端天气应急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074F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雨雪天气后绿化巡查及时，及时处理断枝、枯木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B94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5CF2B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19B1C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A78917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3FF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786BDC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8DA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杂草清理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8ACF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杂草处理及时，无大面积杂草蔓延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CD3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FD031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5818CB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EF1852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99E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2398A1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E84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野生杂树清理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D2A5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野生杂树及时清理，无影响景观和植物生长的杂树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541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80020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DE00B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D824BF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693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599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乙方投入及耗材</w:t>
            </w:r>
          </w:p>
          <w:p w14:paraId="1B7C4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0A6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养护设备投入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2CD7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投入设备充足、正常使用，无设备闲置、损坏未维修情况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78E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C766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38A68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3EB1C6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ED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9F6799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16F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设备辅料保养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C4E8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设备辅料及时保养，有完整的保养记录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E63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60B8B3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E65C2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89B686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FF7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6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3E1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专项管理（2分）</w:t>
            </w:r>
          </w:p>
        </w:tc>
        <w:tc>
          <w:tcPr>
            <w:tcW w:w="817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7BBDF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农药出入库管理</w:t>
            </w:r>
          </w:p>
        </w:tc>
        <w:tc>
          <w:tcPr>
            <w:tcW w:w="1580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1C410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专人专柜管理，出入库记录齐全，台账完整</w:t>
            </w:r>
          </w:p>
        </w:tc>
        <w:tc>
          <w:tcPr>
            <w:tcW w:w="964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512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31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2A04EC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422129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vAlign w:val="center"/>
          </w:tcPr>
          <w:p w14:paraId="0731324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4BF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31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D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8114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F703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328A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30A8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51AEEB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考核时间：                                                             考核组：</w:t>
      </w:r>
    </w:p>
    <w:p w14:paraId="5ACBAA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奖罚细则：甲方采用百分制月度考核验收，参考甲方考核标准执行：</w:t>
      </w:r>
    </w:p>
    <w:p w14:paraId="42336A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综合评分达到“优”(分值≥95分)，全额支付月绿化养护服务费；</w:t>
      </w:r>
    </w:p>
    <w:p w14:paraId="0A0DBB3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综合评分为“良”(85≤分值&lt;95分)，每扣1分，当月绿化养护服务费扣100元/分；</w:t>
      </w:r>
    </w:p>
    <w:p w14:paraId="7975E0A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综合评分为“合格”(75≤分值&lt;85分)，每扣1分，当月绿化养护服务费扣200元/分；</w:t>
      </w:r>
    </w:p>
    <w:p w14:paraId="1A9C9E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综合评分为“不合格”(分值&lt;75分)，每扣1分，当月绿化养护服务费扣400元/分；</w:t>
      </w:r>
    </w:p>
    <w:p w14:paraId="61CDB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highlight w:val="none"/>
          <w:lang w:val="en-US" w:eastAsia="zh-CN" w:bidi="ar-SA"/>
        </w:rPr>
        <w:t>乙方月度考核结果连续3个月评定为不合格的，甲方有权单方面解除本绿化养护服务合同，合同解除、违约责任等相关事宜按照本合同对应条款执行。</w:t>
      </w:r>
    </w:p>
    <w:p w14:paraId="00F46D13">
      <w:pPr>
        <w:pStyle w:val="4"/>
        <w:spacing w:line="360" w:lineRule="auto"/>
        <w:jc w:val="left"/>
        <w:rPr>
          <w:rFonts w:hint="eastAsia"/>
          <w:lang w:val="en-US"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D5F32"/>
    <w:rsid w:val="02287F1B"/>
    <w:rsid w:val="03DD7F34"/>
    <w:rsid w:val="044D3609"/>
    <w:rsid w:val="06511E5F"/>
    <w:rsid w:val="0DD31855"/>
    <w:rsid w:val="0FCD29BF"/>
    <w:rsid w:val="112A0531"/>
    <w:rsid w:val="116A65C1"/>
    <w:rsid w:val="151224E2"/>
    <w:rsid w:val="1D9C4564"/>
    <w:rsid w:val="25AE77EF"/>
    <w:rsid w:val="26155BA9"/>
    <w:rsid w:val="2ADC4269"/>
    <w:rsid w:val="2C4D5F32"/>
    <w:rsid w:val="2CD02D92"/>
    <w:rsid w:val="2D3D6C8F"/>
    <w:rsid w:val="31176FE8"/>
    <w:rsid w:val="31420195"/>
    <w:rsid w:val="31A32E5F"/>
    <w:rsid w:val="3CA559CB"/>
    <w:rsid w:val="48BA396D"/>
    <w:rsid w:val="4AC431B7"/>
    <w:rsid w:val="4D2D7B93"/>
    <w:rsid w:val="4FB32D22"/>
    <w:rsid w:val="4FC869F1"/>
    <w:rsid w:val="51EF4274"/>
    <w:rsid w:val="559653F1"/>
    <w:rsid w:val="5DD41238"/>
    <w:rsid w:val="5FBF1D53"/>
    <w:rsid w:val="664B1C51"/>
    <w:rsid w:val="7B822D7B"/>
    <w:rsid w:val="7BE6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1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2"/>
    <w:basedOn w:val="1"/>
    <w:unhideWhenUsed/>
    <w:qFormat/>
    <w:uiPriority w:val="99"/>
    <w:pPr>
      <w:widowControl/>
      <w:spacing w:before="360" w:line="336" w:lineRule="auto"/>
      <w:jc w:val="left"/>
    </w:pPr>
    <w:rPr>
      <w:rFonts w:eastAsia="黑体"/>
      <w:kern w:val="0"/>
      <w:lang w:val="en-GB"/>
    </w:rPr>
  </w:style>
  <w:style w:type="paragraph" w:styleId="6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character" w:customStyle="1" w:styleId="10">
    <w:name w:val="标题 1 Char1"/>
    <w:qFormat/>
    <w:uiPriority w:val="99"/>
    <w:rPr>
      <w:rFonts w:ascii="黑体" w:eastAsia="黑体"/>
      <w:sz w:val="52"/>
      <w:lang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4268</Words>
  <Characters>4340</Characters>
  <Lines>0</Lines>
  <Paragraphs>0</Paragraphs>
  <TotalTime>0</TotalTime>
  <ScaleCrop>false</ScaleCrop>
  <LinksUpToDate>false</LinksUpToDate>
  <CharactersWithSpaces>4708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2026-06-03T01:23:00Z</dcterms:created>
  <dc:creator>子夜</dc:creator>
  <cp:lastModifiedBy>没头脑 </cp:lastModifiedBy>
  <dcterms:modified xsi:type="dcterms:W3CDTF">2026-07-10T02:45:31Z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63C81EFFC67F4490BF2EF34840EAD723_13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